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3B69" w:rsidRDefault="00953B69" w:rsidP="00153691">
      <w:pPr>
        <w:pStyle w:val="DocumentTitle"/>
      </w:pPr>
    </w:p>
    <w:p w:rsidR="00953B69" w:rsidRDefault="00953B69" w:rsidP="00153691">
      <w:pPr>
        <w:pStyle w:val="DocumentTitle"/>
      </w:pPr>
    </w:p>
    <w:p w:rsidR="00953B69" w:rsidRDefault="00953B69" w:rsidP="00153691">
      <w:pPr>
        <w:pStyle w:val="DocumentTitle"/>
      </w:pPr>
    </w:p>
    <w:p w:rsidR="00953B69" w:rsidRPr="0085371C" w:rsidRDefault="00953B69" w:rsidP="00953B69">
      <w:pPr>
        <w:spacing w:after="120" w:line="240" w:lineRule="auto"/>
        <w:rPr>
          <w:rFonts w:ascii="Arial" w:hAnsi="Arial" w:cs="Arial"/>
        </w:rPr>
      </w:pPr>
      <w:r w:rsidRPr="00DD620A">
        <w:rPr>
          <w:noProof/>
          <w:lang w:eastAsia="en-GB"/>
        </w:rPr>
        <w:drawing>
          <wp:anchor distT="0" distB="0" distL="114300" distR="114300" simplePos="0" relativeHeight="251659264" behindDoc="1" locked="0" layoutInCell="1" allowOverlap="1" wp14:anchorId="0391EE76" wp14:editId="1075DD11">
            <wp:simplePos x="0" y="0"/>
            <wp:positionH relativeFrom="column">
              <wp:posOffset>0</wp:posOffset>
            </wp:positionH>
            <wp:positionV relativeFrom="paragraph">
              <wp:posOffset>-635</wp:posOffset>
            </wp:positionV>
            <wp:extent cx="1695450" cy="1371600"/>
            <wp:effectExtent l="0" t="0" r="0" b="0"/>
            <wp:wrapNone/>
            <wp:docPr id="4" name="Picture 6" descr="Crown Commercial Service Logo"/>
            <wp:cNvGraphicFramePr/>
            <a:graphic xmlns:a="http://schemas.openxmlformats.org/drawingml/2006/main">
              <a:graphicData uri="http://schemas.openxmlformats.org/drawingml/2006/picture">
                <pic:pic xmlns:pic="http://schemas.openxmlformats.org/drawingml/2006/picture">
                  <pic:nvPicPr>
                    <pic:cNvPr id="1029" name="Picture 5" descr="Crown Commercial Service Logo"/>
                    <pic:cNvPicPr>
                      <a:picLocks noChangeAspect="1" noChangeArrowheads="1"/>
                    </pic:cNvPicPr>
                  </pic:nvPicPr>
                  <pic:blipFill>
                    <a:blip r:embed="rId8" cstate="print"/>
                    <a:srcRect/>
                    <a:stretch>
                      <a:fillRect/>
                    </a:stretch>
                  </pic:blipFill>
                  <pic:spPr bwMode="auto">
                    <a:xfrm>
                      <a:off x="0" y="0"/>
                      <a:ext cx="1695450" cy="1371600"/>
                    </a:xfrm>
                    <a:prstGeom prst="rect">
                      <a:avLst/>
                    </a:prstGeom>
                    <a:noFill/>
                  </pic:spPr>
                </pic:pic>
              </a:graphicData>
            </a:graphic>
          </wp:anchor>
        </w:drawing>
      </w:r>
    </w:p>
    <w:p w:rsidR="00953B69" w:rsidRPr="0085371C" w:rsidRDefault="00953B69" w:rsidP="00953B69">
      <w:pPr>
        <w:pStyle w:val="BodyText"/>
        <w:tabs>
          <w:tab w:val="left" w:pos="600"/>
        </w:tabs>
        <w:jc w:val="left"/>
        <w:rPr>
          <w:rFonts w:cs="Arial"/>
          <w:b/>
          <w:sz w:val="22"/>
          <w:szCs w:val="22"/>
        </w:rPr>
      </w:pPr>
      <w:r>
        <w:rPr>
          <w:rFonts w:cs="Arial"/>
          <w:b/>
          <w:sz w:val="22"/>
          <w:szCs w:val="22"/>
        </w:rPr>
        <w:tab/>
      </w:r>
    </w:p>
    <w:p w:rsidR="00953B69" w:rsidRPr="0085371C" w:rsidRDefault="00953B69" w:rsidP="00953B69">
      <w:pPr>
        <w:spacing w:after="120" w:line="240" w:lineRule="auto"/>
        <w:ind w:right="-469"/>
        <w:rPr>
          <w:rFonts w:ascii="Arial" w:hAnsi="Arial" w:cs="Arial"/>
          <w:lang w:val="en-US"/>
        </w:rPr>
      </w:pPr>
    </w:p>
    <w:p w:rsidR="00953B69" w:rsidRPr="0085371C" w:rsidRDefault="00953B69" w:rsidP="00953B69">
      <w:pPr>
        <w:spacing w:after="120" w:line="240" w:lineRule="auto"/>
        <w:jc w:val="right"/>
        <w:rPr>
          <w:rFonts w:ascii="Arial" w:hAnsi="Arial" w:cs="Arial"/>
        </w:rPr>
      </w:pPr>
    </w:p>
    <w:p w:rsidR="00953B69" w:rsidRPr="0085371C" w:rsidRDefault="00953B69" w:rsidP="00953B69">
      <w:pPr>
        <w:tabs>
          <w:tab w:val="left" w:pos="1125"/>
        </w:tabs>
        <w:spacing w:after="120" w:line="240" w:lineRule="auto"/>
        <w:rPr>
          <w:rFonts w:ascii="Arial" w:hAnsi="Arial" w:cs="Arial"/>
          <w:b/>
          <w:lang w:val="en-US"/>
        </w:rPr>
      </w:pPr>
      <w:r>
        <w:rPr>
          <w:rFonts w:ascii="Arial" w:hAnsi="Arial" w:cs="Arial"/>
          <w:b/>
          <w:lang w:val="en-US"/>
        </w:rPr>
        <w:tab/>
      </w:r>
    </w:p>
    <w:p w:rsidR="00953B69" w:rsidRPr="0085371C" w:rsidRDefault="00953B69" w:rsidP="00953B69">
      <w:pPr>
        <w:spacing w:after="120" w:line="240" w:lineRule="auto"/>
        <w:jc w:val="center"/>
        <w:rPr>
          <w:rFonts w:ascii="Arial" w:hAnsi="Arial" w:cs="Arial"/>
          <w:b/>
          <w:lang w:val="en-US"/>
        </w:rPr>
      </w:pPr>
    </w:p>
    <w:p w:rsidR="00953B69" w:rsidRPr="0085371C" w:rsidRDefault="00953B69" w:rsidP="00953B69">
      <w:pPr>
        <w:spacing w:after="120" w:line="240" w:lineRule="auto"/>
        <w:jc w:val="center"/>
        <w:rPr>
          <w:rFonts w:ascii="Arial" w:hAnsi="Arial" w:cs="Arial"/>
          <w:b/>
          <w:lang w:val="en-US"/>
        </w:rPr>
      </w:pPr>
    </w:p>
    <w:p w:rsidR="00953B69" w:rsidRPr="0085371C" w:rsidRDefault="00953B69" w:rsidP="00953B69">
      <w:pPr>
        <w:spacing w:after="120" w:line="240" w:lineRule="auto"/>
        <w:jc w:val="center"/>
        <w:rPr>
          <w:rFonts w:ascii="Arial" w:hAnsi="Arial" w:cs="Arial"/>
          <w:b/>
          <w:lang w:val="en-US"/>
        </w:rPr>
      </w:pPr>
    </w:p>
    <w:p w:rsidR="00953B69" w:rsidRPr="0085371C" w:rsidRDefault="00953B69" w:rsidP="00953B69">
      <w:pPr>
        <w:spacing w:after="120" w:line="240" w:lineRule="auto"/>
        <w:jc w:val="center"/>
        <w:rPr>
          <w:rFonts w:ascii="Arial" w:hAnsi="Arial" w:cs="Arial"/>
          <w:b/>
          <w:lang w:val="en-US"/>
        </w:rPr>
      </w:pPr>
    </w:p>
    <w:p w:rsidR="00953B69" w:rsidRDefault="00953B69" w:rsidP="00953B69">
      <w:pPr>
        <w:spacing w:after="120" w:line="240" w:lineRule="auto"/>
        <w:rPr>
          <w:rFonts w:ascii="Arial" w:hAnsi="Arial" w:cs="Arial"/>
          <w:b/>
          <w:caps/>
          <w:lang w:val="en-US"/>
        </w:rPr>
      </w:pPr>
    </w:p>
    <w:p w:rsidR="00953B69" w:rsidRDefault="00953B69" w:rsidP="00953B69">
      <w:pPr>
        <w:spacing w:after="120" w:line="240" w:lineRule="auto"/>
        <w:jc w:val="center"/>
        <w:rPr>
          <w:rFonts w:ascii="Arial" w:hAnsi="Arial" w:cs="Arial"/>
          <w:b/>
          <w:caps/>
          <w:lang w:val="en-US"/>
        </w:rPr>
      </w:pPr>
      <w:r>
        <w:rPr>
          <w:rFonts w:ascii="Arial" w:hAnsi="Arial" w:cs="Arial"/>
          <w:b/>
          <w:caps/>
          <w:lang w:val="en-US"/>
        </w:rPr>
        <w:t>SUPPLEMENT TO ATTACHMENT 3 ANNEX d</w:t>
      </w:r>
    </w:p>
    <w:p w:rsidR="00953B69" w:rsidRPr="0085371C" w:rsidRDefault="00953B69" w:rsidP="00953B69">
      <w:pPr>
        <w:spacing w:after="120" w:line="240" w:lineRule="auto"/>
        <w:jc w:val="center"/>
        <w:rPr>
          <w:rFonts w:ascii="Arial" w:hAnsi="Arial" w:cs="Arial"/>
          <w:b/>
          <w:caps/>
          <w:lang w:val="en-US"/>
        </w:rPr>
      </w:pPr>
      <w:r>
        <w:rPr>
          <w:rFonts w:ascii="Arial" w:hAnsi="Arial" w:cs="Arial"/>
          <w:b/>
          <w:caps/>
          <w:lang w:val="en-US"/>
        </w:rPr>
        <w:t>payment mechanism</w:t>
      </w:r>
    </w:p>
    <w:p w:rsidR="00953B69" w:rsidRPr="0085371C" w:rsidRDefault="00953B69" w:rsidP="00953B69">
      <w:pPr>
        <w:spacing w:after="120" w:line="240" w:lineRule="auto"/>
        <w:jc w:val="center"/>
        <w:rPr>
          <w:rFonts w:ascii="Arial" w:hAnsi="Arial" w:cs="Arial"/>
          <w:b/>
          <w:caps/>
          <w:lang w:val="en-US"/>
        </w:rPr>
      </w:pPr>
    </w:p>
    <w:p w:rsidR="00953B69" w:rsidRPr="0085371C" w:rsidRDefault="00953B69" w:rsidP="00953B69">
      <w:pPr>
        <w:overflowPunct w:val="0"/>
        <w:autoSpaceDE w:val="0"/>
        <w:autoSpaceDN w:val="0"/>
        <w:adjustRightInd w:val="0"/>
        <w:spacing w:after="120" w:line="240" w:lineRule="auto"/>
        <w:jc w:val="center"/>
        <w:textAlignment w:val="baseline"/>
        <w:rPr>
          <w:rFonts w:ascii="Arial" w:eastAsia="Times New Roman" w:hAnsi="Arial" w:cs="Arial"/>
          <w:b/>
        </w:rPr>
      </w:pPr>
      <w:r w:rsidRPr="0085371C">
        <w:rPr>
          <w:rFonts w:ascii="Arial" w:eastAsia="Times New Roman" w:hAnsi="Arial" w:cs="Arial"/>
          <w:b/>
        </w:rPr>
        <w:t>FURTHER COMPETITION UNDER</w:t>
      </w:r>
    </w:p>
    <w:p w:rsidR="00953B69" w:rsidRDefault="00953B69" w:rsidP="00953B69">
      <w:pPr>
        <w:overflowPunct w:val="0"/>
        <w:autoSpaceDE w:val="0"/>
        <w:autoSpaceDN w:val="0"/>
        <w:adjustRightInd w:val="0"/>
        <w:spacing w:after="120" w:line="240" w:lineRule="auto"/>
        <w:jc w:val="center"/>
        <w:textAlignment w:val="baseline"/>
        <w:rPr>
          <w:rFonts w:ascii="Arial" w:eastAsia="Times New Roman" w:hAnsi="Arial" w:cs="Arial"/>
          <w:b/>
        </w:rPr>
      </w:pPr>
      <w:r>
        <w:rPr>
          <w:rFonts w:ascii="Arial" w:eastAsia="Times New Roman" w:hAnsi="Arial" w:cs="Arial"/>
          <w:b/>
        </w:rPr>
        <w:t>WORKPLACE SERVICES (FM MARKETPLACE PHASE 2)</w:t>
      </w:r>
    </w:p>
    <w:p w:rsidR="00953B69" w:rsidRDefault="00953B69" w:rsidP="00953B69">
      <w:pPr>
        <w:overflowPunct w:val="0"/>
        <w:autoSpaceDE w:val="0"/>
        <w:autoSpaceDN w:val="0"/>
        <w:adjustRightInd w:val="0"/>
        <w:spacing w:after="120" w:line="240" w:lineRule="auto"/>
        <w:jc w:val="center"/>
        <w:textAlignment w:val="baseline"/>
        <w:rPr>
          <w:rFonts w:ascii="Arial" w:eastAsia="Times New Roman" w:hAnsi="Arial" w:cs="Arial"/>
          <w:b/>
        </w:rPr>
      </w:pPr>
      <w:r>
        <w:rPr>
          <w:rFonts w:ascii="Arial" w:eastAsia="Times New Roman" w:hAnsi="Arial" w:cs="Arial"/>
          <w:b/>
        </w:rPr>
        <w:t>FRAMEWORK AGREEMENT</w:t>
      </w:r>
    </w:p>
    <w:p w:rsidR="00953B69" w:rsidRPr="0085371C" w:rsidRDefault="00216E3F" w:rsidP="00953B69">
      <w:pPr>
        <w:overflowPunct w:val="0"/>
        <w:autoSpaceDE w:val="0"/>
        <w:autoSpaceDN w:val="0"/>
        <w:adjustRightInd w:val="0"/>
        <w:spacing w:after="120" w:line="240" w:lineRule="auto"/>
        <w:jc w:val="center"/>
        <w:textAlignment w:val="baseline"/>
        <w:rPr>
          <w:rFonts w:ascii="Arial" w:eastAsia="Times New Roman" w:hAnsi="Arial" w:cs="Arial"/>
          <w:b/>
        </w:rPr>
      </w:pPr>
      <w:r>
        <w:rPr>
          <w:rFonts w:ascii="Arial" w:eastAsia="Times New Roman" w:hAnsi="Arial" w:cs="Arial"/>
          <w:b/>
        </w:rPr>
        <w:t xml:space="preserve">TECHNICAL SECURITY </w:t>
      </w:r>
      <w:r w:rsidR="00953B69" w:rsidRPr="00765830">
        <w:rPr>
          <w:rFonts w:ascii="Arial" w:eastAsia="Times New Roman" w:hAnsi="Arial" w:cs="Arial"/>
          <w:b/>
        </w:rPr>
        <w:t>LOT 1</w:t>
      </w:r>
      <w:r>
        <w:rPr>
          <w:rFonts w:ascii="Arial" w:eastAsia="Times New Roman" w:hAnsi="Arial" w:cs="Arial"/>
          <w:b/>
        </w:rPr>
        <w:t>B</w:t>
      </w:r>
      <w:r w:rsidR="00953B69" w:rsidRPr="00765830">
        <w:rPr>
          <w:rFonts w:ascii="Arial" w:eastAsia="Times New Roman" w:hAnsi="Arial" w:cs="Arial"/>
          <w:b/>
        </w:rPr>
        <w:t xml:space="preserve"> </w:t>
      </w:r>
      <w:r w:rsidR="00953B69" w:rsidRPr="0085371C">
        <w:rPr>
          <w:rFonts w:ascii="Arial" w:eastAsia="Times New Roman" w:hAnsi="Arial" w:cs="Arial"/>
          <w:b/>
        </w:rPr>
        <w:t>(RM</w:t>
      </w:r>
      <w:r w:rsidR="00953B69">
        <w:rPr>
          <w:rFonts w:ascii="Arial" w:eastAsia="Times New Roman" w:hAnsi="Arial" w:cs="Arial"/>
          <w:b/>
        </w:rPr>
        <w:t>6089</w:t>
      </w:r>
      <w:r w:rsidR="00953B69" w:rsidRPr="0085371C">
        <w:rPr>
          <w:rFonts w:ascii="Arial" w:eastAsia="Times New Roman" w:hAnsi="Arial" w:cs="Arial"/>
          <w:b/>
        </w:rPr>
        <w:t>)</w:t>
      </w:r>
    </w:p>
    <w:p w:rsidR="00953B69" w:rsidRPr="0085371C" w:rsidRDefault="00953B69" w:rsidP="00953B69">
      <w:pPr>
        <w:overflowPunct w:val="0"/>
        <w:autoSpaceDE w:val="0"/>
        <w:autoSpaceDN w:val="0"/>
        <w:adjustRightInd w:val="0"/>
        <w:spacing w:after="120" w:line="240" w:lineRule="auto"/>
        <w:jc w:val="center"/>
        <w:textAlignment w:val="baseline"/>
        <w:rPr>
          <w:rFonts w:ascii="Arial" w:eastAsia="Times New Roman" w:hAnsi="Arial" w:cs="Arial"/>
          <w:b/>
        </w:rPr>
      </w:pPr>
    </w:p>
    <w:p w:rsidR="00953B69" w:rsidRDefault="00953B69" w:rsidP="00153691">
      <w:pPr>
        <w:pStyle w:val="DocumentTitle"/>
      </w:pPr>
    </w:p>
    <w:p w:rsidR="00953B69" w:rsidRDefault="00953B69" w:rsidP="00153691">
      <w:pPr>
        <w:pStyle w:val="DocumentTitle"/>
      </w:pPr>
    </w:p>
    <w:p w:rsidR="00B20593" w:rsidRDefault="00B20593">
      <w:pPr>
        <w:rPr>
          <w:rFonts w:ascii="Arial" w:eastAsia="Times New Roman" w:hAnsi="Arial" w:cs="Times New Roman"/>
          <w:bCs/>
          <w:sz w:val="20"/>
          <w:szCs w:val="28"/>
        </w:rPr>
      </w:pPr>
      <w:r>
        <w:br w:type="page"/>
      </w:r>
    </w:p>
    <w:p w:rsidR="00153691" w:rsidRDefault="00153691" w:rsidP="00153691">
      <w:pPr>
        <w:pStyle w:val="Documentdate"/>
      </w:pPr>
    </w:p>
    <w:sdt>
      <w:sdtPr>
        <w:rPr>
          <w:rFonts w:asciiTheme="minorHAnsi" w:eastAsiaTheme="minorHAnsi" w:hAnsiTheme="minorHAnsi" w:cstheme="minorBidi"/>
          <w:color w:val="auto"/>
          <w:sz w:val="22"/>
          <w:szCs w:val="22"/>
          <w:lang w:val="en-GB"/>
        </w:rPr>
        <w:id w:val="-108667880"/>
        <w:docPartObj>
          <w:docPartGallery w:val="Table of Contents"/>
          <w:docPartUnique/>
        </w:docPartObj>
      </w:sdtPr>
      <w:sdtEndPr>
        <w:rPr>
          <w:b/>
          <w:bCs/>
          <w:noProof/>
        </w:rPr>
      </w:sdtEndPr>
      <w:sdtContent>
        <w:p w:rsidR="005D1BF3" w:rsidRDefault="005D1BF3">
          <w:pPr>
            <w:pStyle w:val="TOCHeading"/>
          </w:pPr>
          <w:r>
            <w:t>Table of Contents</w:t>
          </w:r>
        </w:p>
        <w:p w:rsidR="00B801D7" w:rsidRDefault="005D1BF3">
          <w:pPr>
            <w:pStyle w:val="TOC1"/>
            <w:tabs>
              <w:tab w:val="right" w:leader="dot" w:pos="9016"/>
            </w:tabs>
            <w:rPr>
              <w:rFonts w:eastAsiaTheme="minorEastAsia"/>
              <w:noProof/>
              <w:lang w:eastAsia="en-GB"/>
            </w:rPr>
          </w:pPr>
          <w:r>
            <w:fldChar w:fldCharType="begin"/>
          </w:r>
          <w:r>
            <w:instrText xml:space="preserve"> TOC \o "1-3" \h \z \u </w:instrText>
          </w:r>
          <w:r>
            <w:fldChar w:fldCharType="separate"/>
          </w:r>
          <w:hyperlink w:anchor="_Toc4403440" w:history="1">
            <w:r w:rsidR="00B801D7" w:rsidRPr="005E3F34">
              <w:rPr>
                <w:rStyle w:val="Hyperlink"/>
                <w:noProof/>
              </w:rPr>
              <w:t>Introduction</w:t>
            </w:r>
            <w:r w:rsidR="00B801D7">
              <w:rPr>
                <w:noProof/>
                <w:webHidden/>
              </w:rPr>
              <w:tab/>
            </w:r>
            <w:r w:rsidR="00B801D7">
              <w:rPr>
                <w:noProof/>
                <w:webHidden/>
              </w:rPr>
              <w:fldChar w:fldCharType="begin"/>
            </w:r>
            <w:r w:rsidR="00B801D7">
              <w:rPr>
                <w:noProof/>
                <w:webHidden/>
              </w:rPr>
              <w:instrText xml:space="preserve"> PAGEREF _Toc4403440 \h </w:instrText>
            </w:r>
            <w:r w:rsidR="00B801D7">
              <w:rPr>
                <w:noProof/>
                <w:webHidden/>
              </w:rPr>
            </w:r>
            <w:r w:rsidR="00B801D7">
              <w:rPr>
                <w:noProof/>
                <w:webHidden/>
              </w:rPr>
              <w:fldChar w:fldCharType="separate"/>
            </w:r>
            <w:r w:rsidR="00B801D7">
              <w:rPr>
                <w:noProof/>
                <w:webHidden/>
              </w:rPr>
              <w:t>3</w:t>
            </w:r>
            <w:r w:rsidR="00B801D7">
              <w:rPr>
                <w:noProof/>
                <w:webHidden/>
              </w:rPr>
              <w:fldChar w:fldCharType="end"/>
            </w:r>
          </w:hyperlink>
        </w:p>
        <w:p w:rsidR="00B801D7" w:rsidRDefault="00B801D7">
          <w:pPr>
            <w:pStyle w:val="TOC1"/>
            <w:tabs>
              <w:tab w:val="right" w:leader="dot" w:pos="9016"/>
            </w:tabs>
            <w:rPr>
              <w:rFonts w:eastAsiaTheme="minorEastAsia"/>
              <w:noProof/>
              <w:lang w:eastAsia="en-GB"/>
            </w:rPr>
          </w:pPr>
          <w:hyperlink w:anchor="_Toc4403441" w:history="1">
            <w:r w:rsidRPr="005E3F34">
              <w:rPr>
                <w:rStyle w:val="Hyperlink"/>
                <w:noProof/>
              </w:rPr>
              <w:t>PayMech Calc Overview worksheet</w:t>
            </w:r>
            <w:r>
              <w:rPr>
                <w:noProof/>
                <w:webHidden/>
              </w:rPr>
              <w:tab/>
            </w:r>
            <w:r>
              <w:rPr>
                <w:noProof/>
                <w:webHidden/>
              </w:rPr>
              <w:fldChar w:fldCharType="begin"/>
            </w:r>
            <w:r>
              <w:rPr>
                <w:noProof/>
                <w:webHidden/>
              </w:rPr>
              <w:instrText xml:space="preserve"> PAGEREF _Toc4403441 \h </w:instrText>
            </w:r>
            <w:r>
              <w:rPr>
                <w:noProof/>
                <w:webHidden/>
              </w:rPr>
            </w:r>
            <w:r>
              <w:rPr>
                <w:noProof/>
                <w:webHidden/>
              </w:rPr>
              <w:fldChar w:fldCharType="separate"/>
            </w:r>
            <w:r>
              <w:rPr>
                <w:noProof/>
                <w:webHidden/>
              </w:rPr>
              <w:t>3</w:t>
            </w:r>
            <w:r>
              <w:rPr>
                <w:noProof/>
                <w:webHidden/>
              </w:rPr>
              <w:fldChar w:fldCharType="end"/>
            </w:r>
          </w:hyperlink>
        </w:p>
        <w:p w:rsidR="00B801D7" w:rsidRDefault="00B801D7">
          <w:pPr>
            <w:pStyle w:val="TOC3"/>
            <w:tabs>
              <w:tab w:val="right" w:leader="dot" w:pos="9016"/>
            </w:tabs>
            <w:rPr>
              <w:rFonts w:eastAsiaTheme="minorEastAsia"/>
              <w:noProof/>
              <w:lang w:eastAsia="en-GB"/>
            </w:rPr>
          </w:pPr>
          <w:hyperlink w:anchor="_Toc4403442" w:history="1">
            <w:r w:rsidRPr="005E3F34">
              <w:rPr>
                <w:rStyle w:val="Hyperlink"/>
                <w:rFonts w:eastAsia="Times New Roman"/>
                <w:noProof/>
                <w:lang w:eastAsia="en-GB"/>
              </w:rPr>
              <w:t>SECTION 1: Calculation of Baseline Monthly Payment</w:t>
            </w:r>
            <w:r>
              <w:rPr>
                <w:noProof/>
                <w:webHidden/>
              </w:rPr>
              <w:tab/>
            </w:r>
            <w:r>
              <w:rPr>
                <w:noProof/>
                <w:webHidden/>
              </w:rPr>
              <w:fldChar w:fldCharType="begin"/>
            </w:r>
            <w:r>
              <w:rPr>
                <w:noProof/>
                <w:webHidden/>
              </w:rPr>
              <w:instrText xml:space="preserve"> PAGEREF _Toc4403442 \h </w:instrText>
            </w:r>
            <w:r>
              <w:rPr>
                <w:noProof/>
                <w:webHidden/>
              </w:rPr>
            </w:r>
            <w:r>
              <w:rPr>
                <w:noProof/>
                <w:webHidden/>
              </w:rPr>
              <w:fldChar w:fldCharType="separate"/>
            </w:r>
            <w:r>
              <w:rPr>
                <w:noProof/>
                <w:webHidden/>
              </w:rPr>
              <w:t>3</w:t>
            </w:r>
            <w:r>
              <w:rPr>
                <w:noProof/>
                <w:webHidden/>
              </w:rPr>
              <w:fldChar w:fldCharType="end"/>
            </w:r>
          </w:hyperlink>
        </w:p>
        <w:p w:rsidR="00B801D7" w:rsidRDefault="00B801D7">
          <w:pPr>
            <w:pStyle w:val="TOC3"/>
            <w:tabs>
              <w:tab w:val="right" w:leader="dot" w:pos="9016"/>
            </w:tabs>
            <w:rPr>
              <w:rFonts w:eastAsiaTheme="minorEastAsia"/>
              <w:noProof/>
              <w:lang w:eastAsia="en-GB"/>
            </w:rPr>
          </w:pPr>
          <w:hyperlink w:anchor="_Toc4403443" w:history="1">
            <w:r w:rsidRPr="005E3F34">
              <w:rPr>
                <w:rStyle w:val="Hyperlink"/>
                <w:noProof/>
              </w:rPr>
              <w:t>SECTION 2: Calculation of Monthly Value at Risk</w:t>
            </w:r>
            <w:r>
              <w:rPr>
                <w:noProof/>
                <w:webHidden/>
              </w:rPr>
              <w:tab/>
            </w:r>
            <w:r>
              <w:rPr>
                <w:noProof/>
                <w:webHidden/>
              </w:rPr>
              <w:fldChar w:fldCharType="begin"/>
            </w:r>
            <w:r>
              <w:rPr>
                <w:noProof/>
                <w:webHidden/>
              </w:rPr>
              <w:instrText xml:space="preserve"> PAGEREF _Toc4403443 \h </w:instrText>
            </w:r>
            <w:r>
              <w:rPr>
                <w:noProof/>
                <w:webHidden/>
              </w:rPr>
            </w:r>
            <w:r>
              <w:rPr>
                <w:noProof/>
                <w:webHidden/>
              </w:rPr>
              <w:fldChar w:fldCharType="separate"/>
            </w:r>
            <w:r>
              <w:rPr>
                <w:noProof/>
                <w:webHidden/>
              </w:rPr>
              <w:t>4</w:t>
            </w:r>
            <w:r>
              <w:rPr>
                <w:noProof/>
                <w:webHidden/>
              </w:rPr>
              <w:fldChar w:fldCharType="end"/>
            </w:r>
          </w:hyperlink>
        </w:p>
        <w:p w:rsidR="00B801D7" w:rsidRDefault="00B801D7">
          <w:pPr>
            <w:pStyle w:val="TOC3"/>
            <w:tabs>
              <w:tab w:val="right" w:leader="dot" w:pos="9016"/>
            </w:tabs>
            <w:rPr>
              <w:rFonts w:eastAsiaTheme="minorEastAsia"/>
              <w:noProof/>
              <w:lang w:eastAsia="en-GB"/>
            </w:rPr>
          </w:pPr>
          <w:hyperlink w:anchor="_Toc4403444" w:history="1">
            <w:r w:rsidRPr="005E3F34">
              <w:rPr>
                <w:rStyle w:val="Hyperlink"/>
                <w:noProof/>
              </w:rPr>
              <w:t>Input for Pass through Costs for Previous Contract Month</w:t>
            </w:r>
            <w:r>
              <w:rPr>
                <w:noProof/>
                <w:webHidden/>
              </w:rPr>
              <w:tab/>
            </w:r>
            <w:r>
              <w:rPr>
                <w:noProof/>
                <w:webHidden/>
              </w:rPr>
              <w:fldChar w:fldCharType="begin"/>
            </w:r>
            <w:r>
              <w:rPr>
                <w:noProof/>
                <w:webHidden/>
              </w:rPr>
              <w:instrText xml:space="preserve"> PAGEREF _Toc4403444 \h </w:instrText>
            </w:r>
            <w:r>
              <w:rPr>
                <w:noProof/>
                <w:webHidden/>
              </w:rPr>
            </w:r>
            <w:r>
              <w:rPr>
                <w:noProof/>
                <w:webHidden/>
              </w:rPr>
              <w:fldChar w:fldCharType="separate"/>
            </w:r>
            <w:r>
              <w:rPr>
                <w:noProof/>
                <w:webHidden/>
              </w:rPr>
              <w:t>4</w:t>
            </w:r>
            <w:r>
              <w:rPr>
                <w:noProof/>
                <w:webHidden/>
              </w:rPr>
              <w:fldChar w:fldCharType="end"/>
            </w:r>
          </w:hyperlink>
        </w:p>
        <w:p w:rsidR="00B801D7" w:rsidRDefault="00B801D7">
          <w:pPr>
            <w:pStyle w:val="TOC3"/>
            <w:tabs>
              <w:tab w:val="right" w:leader="dot" w:pos="9016"/>
            </w:tabs>
            <w:rPr>
              <w:rFonts w:eastAsiaTheme="minorEastAsia"/>
              <w:noProof/>
              <w:lang w:eastAsia="en-GB"/>
            </w:rPr>
          </w:pPr>
          <w:hyperlink w:anchor="_Toc4403445" w:history="1">
            <w:r w:rsidRPr="005E3F34">
              <w:rPr>
                <w:rStyle w:val="Hyperlink"/>
                <w:noProof/>
              </w:rPr>
              <w:t>Input of Work Orders for Previous Contract Month</w:t>
            </w:r>
            <w:r>
              <w:rPr>
                <w:noProof/>
                <w:webHidden/>
              </w:rPr>
              <w:tab/>
            </w:r>
            <w:r>
              <w:rPr>
                <w:noProof/>
                <w:webHidden/>
              </w:rPr>
              <w:fldChar w:fldCharType="begin"/>
            </w:r>
            <w:r>
              <w:rPr>
                <w:noProof/>
                <w:webHidden/>
              </w:rPr>
              <w:instrText xml:space="preserve"> PAGEREF _Toc4403445 \h </w:instrText>
            </w:r>
            <w:r>
              <w:rPr>
                <w:noProof/>
                <w:webHidden/>
              </w:rPr>
            </w:r>
            <w:r>
              <w:rPr>
                <w:noProof/>
                <w:webHidden/>
              </w:rPr>
              <w:fldChar w:fldCharType="separate"/>
            </w:r>
            <w:r>
              <w:rPr>
                <w:noProof/>
                <w:webHidden/>
              </w:rPr>
              <w:t>4</w:t>
            </w:r>
            <w:r>
              <w:rPr>
                <w:noProof/>
                <w:webHidden/>
              </w:rPr>
              <w:fldChar w:fldCharType="end"/>
            </w:r>
          </w:hyperlink>
        </w:p>
        <w:p w:rsidR="00B801D7" w:rsidRDefault="00B801D7">
          <w:pPr>
            <w:pStyle w:val="TOC3"/>
            <w:tabs>
              <w:tab w:val="right" w:leader="dot" w:pos="9016"/>
            </w:tabs>
            <w:rPr>
              <w:rFonts w:eastAsiaTheme="minorEastAsia"/>
              <w:noProof/>
              <w:lang w:eastAsia="en-GB"/>
            </w:rPr>
          </w:pPr>
          <w:hyperlink w:anchor="_Toc4403446" w:history="1">
            <w:r w:rsidRPr="005E3F34">
              <w:rPr>
                <w:rStyle w:val="Hyperlink"/>
                <w:rFonts w:eastAsia="Times New Roman"/>
                <w:noProof/>
                <w:lang w:eastAsia="en-GB"/>
              </w:rPr>
              <w:t>SECTION 3: Input TUPE Risk Premium for Previous Month.</w:t>
            </w:r>
            <w:r>
              <w:rPr>
                <w:noProof/>
                <w:webHidden/>
              </w:rPr>
              <w:tab/>
            </w:r>
            <w:r>
              <w:rPr>
                <w:noProof/>
                <w:webHidden/>
              </w:rPr>
              <w:fldChar w:fldCharType="begin"/>
            </w:r>
            <w:r>
              <w:rPr>
                <w:noProof/>
                <w:webHidden/>
              </w:rPr>
              <w:instrText xml:space="preserve"> PAGEREF _Toc4403446 \h </w:instrText>
            </w:r>
            <w:r>
              <w:rPr>
                <w:noProof/>
                <w:webHidden/>
              </w:rPr>
            </w:r>
            <w:r>
              <w:rPr>
                <w:noProof/>
                <w:webHidden/>
              </w:rPr>
              <w:fldChar w:fldCharType="separate"/>
            </w:r>
            <w:r>
              <w:rPr>
                <w:noProof/>
                <w:webHidden/>
              </w:rPr>
              <w:t>4</w:t>
            </w:r>
            <w:r>
              <w:rPr>
                <w:noProof/>
                <w:webHidden/>
              </w:rPr>
              <w:fldChar w:fldCharType="end"/>
            </w:r>
          </w:hyperlink>
        </w:p>
        <w:p w:rsidR="00B801D7" w:rsidRDefault="00B801D7">
          <w:pPr>
            <w:pStyle w:val="TOC3"/>
            <w:tabs>
              <w:tab w:val="right" w:leader="dot" w:pos="9016"/>
            </w:tabs>
            <w:rPr>
              <w:rFonts w:eastAsiaTheme="minorEastAsia"/>
              <w:noProof/>
              <w:lang w:eastAsia="en-GB"/>
            </w:rPr>
          </w:pPr>
          <w:hyperlink w:anchor="_Toc4403447" w:history="1">
            <w:r w:rsidRPr="005E3F34">
              <w:rPr>
                <w:rStyle w:val="Hyperlink"/>
                <w:noProof/>
              </w:rPr>
              <w:t>SECTION 4: Calculation of Performance Adjustment and Earnback for Previous Month</w:t>
            </w:r>
            <w:r>
              <w:rPr>
                <w:noProof/>
                <w:webHidden/>
              </w:rPr>
              <w:tab/>
            </w:r>
            <w:r>
              <w:rPr>
                <w:noProof/>
                <w:webHidden/>
              </w:rPr>
              <w:fldChar w:fldCharType="begin"/>
            </w:r>
            <w:r>
              <w:rPr>
                <w:noProof/>
                <w:webHidden/>
              </w:rPr>
              <w:instrText xml:space="preserve"> PAGEREF _Toc4403447 \h </w:instrText>
            </w:r>
            <w:r>
              <w:rPr>
                <w:noProof/>
                <w:webHidden/>
              </w:rPr>
            </w:r>
            <w:r>
              <w:rPr>
                <w:noProof/>
                <w:webHidden/>
              </w:rPr>
              <w:fldChar w:fldCharType="separate"/>
            </w:r>
            <w:r>
              <w:rPr>
                <w:noProof/>
                <w:webHidden/>
              </w:rPr>
              <w:t>5</w:t>
            </w:r>
            <w:r>
              <w:rPr>
                <w:noProof/>
                <w:webHidden/>
              </w:rPr>
              <w:fldChar w:fldCharType="end"/>
            </w:r>
          </w:hyperlink>
        </w:p>
        <w:p w:rsidR="00B801D7" w:rsidRDefault="00B801D7">
          <w:pPr>
            <w:pStyle w:val="TOC3"/>
            <w:tabs>
              <w:tab w:val="right" w:leader="dot" w:pos="9016"/>
            </w:tabs>
            <w:rPr>
              <w:rFonts w:eastAsiaTheme="minorEastAsia"/>
              <w:noProof/>
              <w:lang w:eastAsia="en-GB"/>
            </w:rPr>
          </w:pPr>
          <w:hyperlink w:anchor="_Toc4403448" w:history="1">
            <w:r w:rsidRPr="005E3F34">
              <w:rPr>
                <w:rStyle w:val="Hyperlink"/>
                <w:noProof/>
              </w:rPr>
              <w:t>SECTION 5: Calculation of the Monthly Payment (MPn)</w:t>
            </w:r>
            <w:r>
              <w:rPr>
                <w:noProof/>
                <w:webHidden/>
              </w:rPr>
              <w:tab/>
            </w:r>
            <w:r>
              <w:rPr>
                <w:noProof/>
                <w:webHidden/>
              </w:rPr>
              <w:fldChar w:fldCharType="begin"/>
            </w:r>
            <w:r>
              <w:rPr>
                <w:noProof/>
                <w:webHidden/>
              </w:rPr>
              <w:instrText xml:space="preserve"> PAGEREF _Toc4403448 \h </w:instrText>
            </w:r>
            <w:r>
              <w:rPr>
                <w:noProof/>
                <w:webHidden/>
              </w:rPr>
            </w:r>
            <w:r>
              <w:rPr>
                <w:noProof/>
                <w:webHidden/>
              </w:rPr>
              <w:fldChar w:fldCharType="separate"/>
            </w:r>
            <w:r>
              <w:rPr>
                <w:noProof/>
                <w:webHidden/>
              </w:rPr>
              <w:t>5</w:t>
            </w:r>
            <w:r>
              <w:rPr>
                <w:noProof/>
                <w:webHidden/>
              </w:rPr>
              <w:fldChar w:fldCharType="end"/>
            </w:r>
          </w:hyperlink>
        </w:p>
        <w:p w:rsidR="00B801D7" w:rsidRDefault="00B801D7">
          <w:pPr>
            <w:pStyle w:val="TOC1"/>
            <w:tabs>
              <w:tab w:val="right" w:leader="dot" w:pos="9016"/>
            </w:tabs>
            <w:rPr>
              <w:rFonts w:eastAsiaTheme="minorEastAsia"/>
              <w:noProof/>
              <w:lang w:eastAsia="en-GB"/>
            </w:rPr>
          </w:pPr>
          <w:hyperlink w:anchor="_Toc4403449" w:history="1">
            <w:r w:rsidRPr="005E3F34">
              <w:rPr>
                <w:rStyle w:val="Hyperlink"/>
                <w:noProof/>
              </w:rPr>
              <w:t>Performance Deduction Calc worksheet</w:t>
            </w:r>
            <w:r>
              <w:rPr>
                <w:noProof/>
                <w:webHidden/>
              </w:rPr>
              <w:tab/>
            </w:r>
            <w:r>
              <w:rPr>
                <w:noProof/>
                <w:webHidden/>
              </w:rPr>
              <w:fldChar w:fldCharType="begin"/>
            </w:r>
            <w:r>
              <w:rPr>
                <w:noProof/>
                <w:webHidden/>
              </w:rPr>
              <w:instrText xml:space="preserve"> PAGEREF _Toc4403449 \h </w:instrText>
            </w:r>
            <w:r>
              <w:rPr>
                <w:noProof/>
                <w:webHidden/>
              </w:rPr>
            </w:r>
            <w:r>
              <w:rPr>
                <w:noProof/>
                <w:webHidden/>
              </w:rPr>
              <w:fldChar w:fldCharType="separate"/>
            </w:r>
            <w:r>
              <w:rPr>
                <w:noProof/>
                <w:webHidden/>
              </w:rPr>
              <w:t>5</w:t>
            </w:r>
            <w:r>
              <w:rPr>
                <w:noProof/>
                <w:webHidden/>
              </w:rPr>
              <w:fldChar w:fldCharType="end"/>
            </w:r>
          </w:hyperlink>
        </w:p>
        <w:p w:rsidR="00B801D7" w:rsidRDefault="00B801D7">
          <w:pPr>
            <w:pStyle w:val="TOC2"/>
            <w:tabs>
              <w:tab w:val="right" w:leader="dot" w:pos="9016"/>
            </w:tabs>
            <w:rPr>
              <w:rFonts w:eastAsiaTheme="minorEastAsia"/>
              <w:noProof/>
              <w:lang w:eastAsia="en-GB"/>
            </w:rPr>
          </w:pPr>
          <w:hyperlink w:anchor="_Toc4403450" w:history="1">
            <w:r w:rsidRPr="005E3F34">
              <w:rPr>
                <w:rStyle w:val="Hyperlink"/>
                <w:noProof/>
              </w:rPr>
              <w:t>Table 1 – Ratchet Options.</w:t>
            </w:r>
            <w:r>
              <w:rPr>
                <w:noProof/>
                <w:webHidden/>
              </w:rPr>
              <w:tab/>
            </w:r>
            <w:r>
              <w:rPr>
                <w:noProof/>
                <w:webHidden/>
              </w:rPr>
              <w:fldChar w:fldCharType="begin"/>
            </w:r>
            <w:r>
              <w:rPr>
                <w:noProof/>
                <w:webHidden/>
              </w:rPr>
              <w:instrText xml:space="preserve"> PAGEREF _Toc4403450 \h </w:instrText>
            </w:r>
            <w:r>
              <w:rPr>
                <w:noProof/>
                <w:webHidden/>
              </w:rPr>
            </w:r>
            <w:r>
              <w:rPr>
                <w:noProof/>
                <w:webHidden/>
              </w:rPr>
              <w:fldChar w:fldCharType="separate"/>
            </w:r>
            <w:r>
              <w:rPr>
                <w:noProof/>
                <w:webHidden/>
              </w:rPr>
              <w:t>5</w:t>
            </w:r>
            <w:r>
              <w:rPr>
                <w:noProof/>
                <w:webHidden/>
              </w:rPr>
              <w:fldChar w:fldCharType="end"/>
            </w:r>
          </w:hyperlink>
        </w:p>
        <w:p w:rsidR="00B801D7" w:rsidRDefault="00B801D7">
          <w:pPr>
            <w:pStyle w:val="TOC2"/>
            <w:tabs>
              <w:tab w:val="right" w:leader="dot" w:pos="9016"/>
            </w:tabs>
            <w:rPr>
              <w:rFonts w:eastAsiaTheme="minorEastAsia"/>
              <w:noProof/>
              <w:lang w:eastAsia="en-GB"/>
            </w:rPr>
          </w:pPr>
          <w:hyperlink w:anchor="_Toc4403451" w:history="1">
            <w:r w:rsidRPr="005E3F34">
              <w:rPr>
                <w:rStyle w:val="Hyperlink"/>
                <w:noProof/>
              </w:rPr>
              <w:t>Table 1 – Actual Deductions.</w:t>
            </w:r>
            <w:r>
              <w:rPr>
                <w:noProof/>
                <w:webHidden/>
              </w:rPr>
              <w:tab/>
            </w:r>
            <w:r>
              <w:rPr>
                <w:noProof/>
                <w:webHidden/>
              </w:rPr>
              <w:fldChar w:fldCharType="begin"/>
            </w:r>
            <w:r>
              <w:rPr>
                <w:noProof/>
                <w:webHidden/>
              </w:rPr>
              <w:instrText xml:space="preserve"> PAGEREF _Toc4403451 \h </w:instrText>
            </w:r>
            <w:r>
              <w:rPr>
                <w:noProof/>
                <w:webHidden/>
              </w:rPr>
            </w:r>
            <w:r>
              <w:rPr>
                <w:noProof/>
                <w:webHidden/>
              </w:rPr>
              <w:fldChar w:fldCharType="separate"/>
            </w:r>
            <w:r>
              <w:rPr>
                <w:noProof/>
                <w:webHidden/>
              </w:rPr>
              <w:t>6</w:t>
            </w:r>
            <w:r>
              <w:rPr>
                <w:noProof/>
                <w:webHidden/>
              </w:rPr>
              <w:fldChar w:fldCharType="end"/>
            </w:r>
          </w:hyperlink>
        </w:p>
        <w:p w:rsidR="00B801D7" w:rsidRDefault="00B801D7">
          <w:pPr>
            <w:pStyle w:val="TOC2"/>
            <w:tabs>
              <w:tab w:val="right" w:leader="dot" w:pos="9016"/>
            </w:tabs>
            <w:rPr>
              <w:rFonts w:eastAsiaTheme="minorEastAsia"/>
              <w:noProof/>
              <w:lang w:eastAsia="en-GB"/>
            </w:rPr>
          </w:pPr>
          <w:hyperlink w:anchor="_Toc4403452" w:history="1">
            <w:r w:rsidRPr="005E3F34">
              <w:rPr>
                <w:rStyle w:val="Hyperlink"/>
                <w:noProof/>
              </w:rPr>
              <w:t>Table 2 – Record of KPI Pass/Fail per Service</w:t>
            </w:r>
            <w:r>
              <w:rPr>
                <w:noProof/>
                <w:webHidden/>
              </w:rPr>
              <w:tab/>
            </w:r>
            <w:r>
              <w:rPr>
                <w:noProof/>
                <w:webHidden/>
              </w:rPr>
              <w:fldChar w:fldCharType="begin"/>
            </w:r>
            <w:r>
              <w:rPr>
                <w:noProof/>
                <w:webHidden/>
              </w:rPr>
              <w:instrText xml:space="preserve"> PAGEREF _Toc4403452 \h </w:instrText>
            </w:r>
            <w:r>
              <w:rPr>
                <w:noProof/>
                <w:webHidden/>
              </w:rPr>
            </w:r>
            <w:r>
              <w:rPr>
                <w:noProof/>
                <w:webHidden/>
              </w:rPr>
              <w:fldChar w:fldCharType="separate"/>
            </w:r>
            <w:r>
              <w:rPr>
                <w:noProof/>
                <w:webHidden/>
              </w:rPr>
              <w:t>6</w:t>
            </w:r>
            <w:r>
              <w:rPr>
                <w:noProof/>
                <w:webHidden/>
              </w:rPr>
              <w:fldChar w:fldCharType="end"/>
            </w:r>
          </w:hyperlink>
        </w:p>
        <w:p w:rsidR="00B801D7" w:rsidRDefault="00B801D7">
          <w:pPr>
            <w:pStyle w:val="TOC2"/>
            <w:tabs>
              <w:tab w:val="right" w:leader="dot" w:pos="9016"/>
            </w:tabs>
            <w:rPr>
              <w:rFonts w:eastAsiaTheme="minorEastAsia"/>
              <w:noProof/>
              <w:lang w:eastAsia="en-GB"/>
            </w:rPr>
          </w:pPr>
          <w:hyperlink w:anchor="_Toc4403453" w:history="1">
            <w:r w:rsidRPr="005E3F34">
              <w:rPr>
                <w:rStyle w:val="Hyperlink"/>
                <w:noProof/>
              </w:rPr>
              <w:t>Table 3 – Calculation of Failure over a 12 Month Period.</w:t>
            </w:r>
            <w:r>
              <w:rPr>
                <w:noProof/>
                <w:webHidden/>
              </w:rPr>
              <w:tab/>
            </w:r>
            <w:r>
              <w:rPr>
                <w:noProof/>
                <w:webHidden/>
              </w:rPr>
              <w:fldChar w:fldCharType="begin"/>
            </w:r>
            <w:r>
              <w:rPr>
                <w:noProof/>
                <w:webHidden/>
              </w:rPr>
              <w:instrText xml:space="preserve"> PAGEREF _Toc4403453 \h </w:instrText>
            </w:r>
            <w:r>
              <w:rPr>
                <w:noProof/>
                <w:webHidden/>
              </w:rPr>
            </w:r>
            <w:r>
              <w:rPr>
                <w:noProof/>
                <w:webHidden/>
              </w:rPr>
              <w:fldChar w:fldCharType="separate"/>
            </w:r>
            <w:r>
              <w:rPr>
                <w:noProof/>
                <w:webHidden/>
              </w:rPr>
              <w:t>6</w:t>
            </w:r>
            <w:r>
              <w:rPr>
                <w:noProof/>
                <w:webHidden/>
              </w:rPr>
              <w:fldChar w:fldCharType="end"/>
            </w:r>
          </w:hyperlink>
        </w:p>
        <w:p w:rsidR="00B801D7" w:rsidRDefault="00B801D7">
          <w:pPr>
            <w:pStyle w:val="TOC2"/>
            <w:tabs>
              <w:tab w:val="right" w:leader="dot" w:pos="9016"/>
            </w:tabs>
            <w:rPr>
              <w:rFonts w:eastAsiaTheme="minorEastAsia"/>
              <w:noProof/>
              <w:lang w:eastAsia="en-GB"/>
            </w:rPr>
          </w:pPr>
          <w:hyperlink w:anchor="_Toc4403454" w:history="1">
            <w:r w:rsidRPr="005E3F34">
              <w:rPr>
                <w:rStyle w:val="Hyperlink"/>
                <w:noProof/>
              </w:rPr>
              <w:t>Table 4 – Calculation of Consecutive Failure.</w:t>
            </w:r>
            <w:r>
              <w:rPr>
                <w:noProof/>
                <w:webHidden/>
              </w:rPr>
              <w:tab/>
            </w:r>
            <w:r>
              <w:rPr>
                <w:noProof/>
                <w:webHidden/>
              </w:rPr>
              <w:fldChar w:fldCharType="begin"/>
            </w:r>
            <w:r>
              <w:rPr>
                <w:noProof/>
                <w:webHidden/>
              </w:rPr>
              <w:instrText xml:space="preserve"> PAGEREF _Toc4403454 \h </w:instrText>
            </w:r>
            <w:r>
              <w:rPr>
                <w:noProof/>
                <w:webHidden/>
              </w:rPr>
            </w:r>
            <w:r>
              <w:rPr>
                <w:noProof/>
                <w:webHidden/>
              </w:rPr>
              <w:fldChar w:fldCharType="separate"/>
            </w:r>
            <w:r>
              <w:rPr>
                <w:noProof/>
                <w:webHidden/>
              </w:rPr>
              <w:t>6</w:t>
            </w:r>
            <w:r>
              <w:rPr>
                <w:noProof/>
                <w:webHidden/>
              </w:rPr>
              <w:fldChar w:fldCharType="end"/>
            </w:r>
          </w:hyperlink>
        </w:p>
        <w:p w:rsidR="00B801D7" w:rsidRDefault="00B801D7">
          <w:pPr>
            <w:pStyle w:val="TOC2"/>
            <w:tabs>
              <w:tab w:val="right" w:leader="dot" w:pos="9016"/>
            </w:tabs>
            <w:rPr>
              <w:rFonts w:eastAsiaTheme="minorEastAsia"/>
              <w:noProof/>
              <w:lang w:eastAsia="en-GB"/>
            </w:rPr>
          </w:pPr>
          <w:hyperlink w:anchor="_Toc4403455" w:history="1">
            <w:r w:rsidRPr="005E3F34">
              <w:rPr>
                <w:rStyle w:val="Hyperlink"/>
                <w:noProof/>
              </w:rPr>
              <w:t>Table 5 – Calculation of Deduction (uses highest figure from table 3 or table 4 above).</w:t>
            </w:r>
            <w:r>
              <w:rPr>
                <w:noProof/>
                <w:webHidden/>
              </w:rPr>
              <w:tab/>
            </w:r>
            <w:r>
              <w:rPr>
                <w:noProof/>
                <w:webHidden/>
              </w:rPr>
              <w:fldChar w:fldCharType="begin"/>
            </w:r>
            <w:r>
              <w:rPr>
                <w:noProof/>
                <w:webHidden/>
              </w:rPr>
              <w:instrText xml:space="preserve"> PAGEREF _Toc4403455 \h </w:instrText>
            </w:r>
            <w:r>
              <w:rPr>
                <w:noProof/>
                <w:webHidden/>
              </w:rPr>
            </w:r>
            <w:r>
              <w:rPr>
                <w:noProof/>
                <w:webHidden/>
              </w:rPr>
              <w:fldChar w:fldCharType="separate"/>
            </w:r>
            <w:r>
              <w:rPr>
                <w:noProof/>
                <w:webHidden/>
              </w:rPr>
              <w:t>7</w:t>
            </w:r>
            <w:r>
              <w:rPr>
                <w:noProof/>
                <w:webHidden/>
              </w:rPr>
              <w:fldChar w:fldCharType="end"/>
            </w:r>
          </w:hyperlink>
        </w:p>
        <w:p w:rsidR="00B801D7" w:rsidRDefault="00B801D7">
          <w:pPr>
            <w:pStyle w:val="TOC2"/>
            <w:tabs>
              <w:tab w:val="right" w:leader="dot" w:pos="9016"/>
            </w:tabs>
            <w:rPr>
              <w:rFonts w:eastAsiaTheme="minorEastAsia"/>
              <w:noProof/>
              <w:lang w:eastAsia="en-GB"/>
            </w:rPr>
          </w:pPr>
          <w:hyperlink w:anchor="_Toc4403456" w:history="1">
            <w:r w:rsidRPr="005E3F34">
              <w:rPr>
                <w:rStyle w:val="Hyperlink"/>
                <w:noProof/>
              </w:rPr>
              <w:t>Table 6 – Monthly Total Value at Risk Cap</w:t>
            </w:r>
            <w:r>
              <w:rPr>
                <w:noProof/>
                <w:webHidden/>
              </w:rPr>
              <w:tab/>
            </w:r>
            <w:r>
              <w:rPr>
                <w:noProof/>
                <w:webHidden/>
              </w:rPr>
              <w:fldChar w:fldCharType="begin"/>
            </w:r>
            <w:r>
              <w:rPr>
                <w:noProof/>
                <w:webHidden/>
              </w:rPr>
              <w:instrText xml:space="preserve"> PAGEREF _Toc4403456 \h </w:instrText>
            </w:r>
            <w:r>
              <w:rPr>
                <w:noProof/>
                <w:webHidden/>
              </w:rPr>
            </w:r>
            <w:r>
              <w:rPr>
                <w:noProof/>
                <w:webHidden/>
              </w:rPr>
              <w:fldChar w:fldCharType="separate"/>
            </w:r>
            <w:r>
              <w:rPr>
                <w:noProof/>
                <w:webHidden/>
              </w:rPr>
              <w:t>7</w:t>
            </w:r>
            <w:r>
              <w:rPr>
                <w:noProof/>
                <w:webHidden/>
              </w:rPr>
              <w:fldChar w:fldCharType="end"/>
            </w:r>
          </w:hyperlink>
        </w:p>
        <w:p w:rsidR="00B801D7" w:rsidRDefault="00B801D7">
          <w:pPr>
            <w:pStyle w:val="TOC1"/>
            <w:tabs>
              <w:tab w:val="right" w:leader="dot" w:pos="9016"/>
            </w:tabs>
            <w:rPr>
              <w:rFonts w:eastAsiaTheme="minorEastAsia"/>
              <w:noProof/>
              <w:lang w:eastAsia="en-GB"/>
            </w:rPr>
          </w:pPr>
          <w:hyperlink w:anchor="_Toc4403457" w:history="1">
            <w:r w:rsidRPr="005E3F34">
              <w:rPr>
                <w:rStyle w:val="Hyperlink"/>
                <w:noProof/>
              </w:rPr>
              <w:t>Perf Earnback_Retention Calc worksheet</w:t>
            </w:r>
            <w:r>
              <w:rPr>
                <w:noProof/>
                <w:webHidden/>
              </w:rPr>
              <w:tab/>
            </w:r>
            <w:r>
              <w:rPr>
                <w:noProof/>
                <w:webHidden/>
              </w:rPr>
              <w:fldChar w:fldCharType="begin"/>
            </w:r>
            <w:r>
              <w:rPr>
                <w:noProof/>
                <w:webHidden/>
              </w:rPr>
              <w:instrText xml:space="preserve"> PAGEREF _Toc4403457 \h </w:instrText>
            </w:r>
            <w:r>
              <w:rPr>
                <w:noProof/>
                <w:webHidden/>
              </w:rPr>
            </w:r>
            <w:r>
              <w:rPr>
                <w:noProof/>
                <w:webHidden/>
              </w:rPr>
              <w:fldChar w:fldCharType="separate"/>
            </w:r>
            <w:r>
              <w:rPr>
                <w:noProof/>
                <w:webHidden/>
              </w:rPr>
              <w:t>7</w:t>
            </w:r>
            <w:r>
              <w:rPr>
                <w:noProof/>
                <w:webHidden/>
              </w:rPr>
              <w:fldChar w:fldCharType="end"/>
            </w:r>
          </w:hyperlink>
        </w:p>
        <w:p w:rsidR="005D1BF3" w:rsidRDefault="005D1BF3">
          <w:r>
            <w:rPr>
              <w:b/>
              <w:bCs/>
              <w:noProof/>
            </w:rPr>
            <w:fldChar w:fldCharType="end"/>
          </w:r>
        </w:p>
        <w:bookmarkStart w:id="0" w:name="_GoBack" w:displacedByCustomXml="next"/>
        <w:bookmarkEnd w:id="0" w:displacedByCustomXml="next"/>
      </w:sdtContent>
    </w:sdt>
    <w:p w:rsidR="00E82721" w:rsidRDefault="00E82721">
      <w:pPr>
        <w:rPr>
          <w:rFonts w:asciiTheme="majorHAnsi" w:eastAsiaTheme="majorEastAsia" w:hAnsiTheme="majorHAnsi" w:cstheme="majorBidi"/>
          <w:color w:val="2E74B5" w:themeColor="accent1" w:themeShade="BF"/>
          <w:sz w:val="28"/>
          <w:szCs w:val="28"/>
          <w:lang w:val="en-US"/>
        </w:rPr>
      </w:pPr>
      <w:r>
        <w:rPr>
          <w:sz w:val="28"/>
          <w:szCs w:val="28"/>
          <w:lang w:val="en-US"/>
        </w:rPr>
        <w:br w:type="page"/>
      </w:r>
    </w:p>
    <w:p w:rsidR="00E62CC4" w:rsidRDefault="00E62CC4"/>
    <w:p w:rsidR="00B143AD" w:rsidRDefault="00F31980">
      <w:bookmarkStart w:id="1" w:name="_Toc4403440"/>
      <w:r w:rsidRPr="005D1BF3">
        <w:rPr>
          <w:rStyle w:val="Heading1Char"/>
          <w:sz w:val="28"/>
          <w:szCs w:val="28"/>
        </w:rPr>
        <w:t>Introduction</w:t>
      </w:r>
      <w:bookmarkEnd w:id="1"/>
    </w:p>
    <w:p w:rsidR="00F31980" w:rsidRDefault="00F31980">
      <w:r>
        <w:t>The Payment Mechanism (Pay Mech) calculation document works in alignment with the KPI Model. Data lifted from the KPI Document will adjust the monthly payment to the Supplier based on how many of the agreed KPI Measures have been met. In this way, the two documents complement one another. The Pay Mech document also works independently from the KPI Model in as much as it calculates the monthly fee due to the supplier at the end of each agreed period. This guidance explains how each section of the Pay Mech Calculation document works;</w:t>
      </w:r>
    </w:p>
    <w:p w:rsidR="00F31980" w:rsidRPr="005D1BF3" w:rsidRDefault="00F31980" w:rsidP="005D1BF3">
      <w:pPr>
        <w:pStyle w:val="Heading1"/>
        <w:rPr>
          <w:sz w:val="28"/>
          <w:szCs w:val="28"/>
        </w:rPr>
      </w:pPr>
      <w:bookmarkStart w:id="2" w:name="_Toc4403441"/>
      <w:r w:rsidRPr="005D1BF3">
        <w:rPr>
          <w:sz w:val="28"/>
          <w:szCs w:val="28"/>
        </w:rPr>
        <w:t>PayMech Calc Overview worksheet</w:t>
      </w:r>
      <w:bookmarkEnd w:id="2"/>
    </w:p>
    <w:p w:rsidR="00F31980" w:rsidRDefault="00F31980">
      <w:r>
        <w:t xml:space="preserve">All cells that are colour coded in pink are the only cells that are required to be completed. Payments to the </w:t>
      </w:r>
      <w:r w:rsidR="00DA5241">
        <w:t>S</w:t>
      </w:r>
      <w:r>
        <w:t>upplier are in arrears i.e. for costs incurred in January, the Pay Mech document is completed in February to calculate payments due for the previous period.</w:t>
      </w:r>
      <w:r w:rsidR="009F1EFC">
        <w:t xml:space="preserve"> Various pink cells within the Pay Mech document, when completed, inform the rest of the document so it is important that all of the relevant cells are completed as follows;</w:t>
      </w:r>
    </w:p>
    <w:p w:rsidR="009F1EFC" w:rsidRDefault="009F1EFC" w:rsidP="009F1EFC">
      <w:pPr>
        <w:pStyle w:val="ListParagraph"/>
        <w:numPr>
          <w:ilvl w:val="0"/>
          <w:numId w:val="1"/>
        </w:numPr>
      </w:pPr>
      <w:r>
        <w:t xml:space="preserve">In row 8, “Payment for </w:t>
      </w:r>
      <w:r w:rsidR="00B143AD">
        <w:t>m</w:t>
      </w:r>
      <w:r>
        <w:t>onth</w:t>
      </w:r>
      <w:r w:rsidR="00B143AD">
        <w:t xml:space="preserve"> number</w:t>
      </w:r>
      <w:r>
        <w:t>” requires Cell C8 to identify which period (month of the contract) is to be the subject of calculation. The first period of the contract refers to the 1</w:t>
      </w:r>
      <w:r w:rsidRPr="009F1EFC">
        <w:rPr>
          <w:vertAlign w:val="superscript"/>
        </w:rPr>
        <w:t>st</w:t>
      </w:r>
      <w:r>
        <w:t xml:space="preserve"> month. Therefore the number “1” is populated into this pink cell. For the next period, the number “2” is used and so on.</w:t>
      </w:r>
    </w:p>
    <w:p w:rsidR="000177FC" w:rsidRDefault="00B143AD" w:rsidP="004717F0">
      <w:pPr>
        <w:spacing w:after="0" w:line="240" w:lineRule="auto"/>
        <w:jc w:val="center"/>
        <w:rPr>
          <w:rFonts w:ascii="Arial" w:eastAsia="Times New Roman" w:hAnsi="Arial" w:cs="Arial"/>
          <w:b/>
          <w:bCs/>
          <w:color w:val="000000"/>
          <w:sz w:val="20"/>
          <w:szCs w:val="20"/>
          <w:lang w:eastAsia="en-GB"/>
        </w:rPr>
      </w:pPr>
      <w:r>
        <w:rPr>
          <w:noProof/>
          <w:lang w:eastAsia="en-GB"/>
        </w:rPr>
        <w:drawing>
          <wp:inline distT="0" distB="0" distL="0" distR="0" wp14:anchorId="7C7B0EBE" wp14:editId="4227E50B">
            <wp:extent cx="4349578" cy="9753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395" t="30217" r="34215" b="51252"/>
                    <a:stretch/>
                  </pic:blipFill>
                  <pic:spPr bwMode="auto">
                    <a:xfrm>
                      <a:off x="0" y="0"/>
                      <a:ext cx="4364925" cy="978801"/>
                    </a:xfrm>
                    <a:prstGeom prst="rect">
                      <a:avLst/>
                    </a:prstGeom>
                    <a:ln>
                      <a:noFill/>
                    </a:ln>
                    <a:extLst>
                      <a:ext uri="{53640926-AAD7-44D8-BBD7-CCE9431645EC}">
                        <a14:shadowObscured xmlns:a14="http://schemas.microsoft.com/office/drawing/2010/main"/>
                      </a:ext>
                    </a:extLst>
                  </pic:spPr>
                </pic:pic>
              </a:graphicData>
            </a:graphic>
          </wp:inline>
        </w:drawing>
      </w:r>
    </w:p>
    <w:p w:rsidR="004717F0" w:rsidRDefault="004717F0" w:rsidP="00B20593">
      <w:pPr>
        <w:pStyle w:val="Heading3"/>
        <w:rPr>
          <w:rFonts w:eastAsia="Times New Roman"/>
          <w:lang w:eastAsia="en-GB"/>
        </w:rPr>
      </w:pPr>
    </w:p>
    <w:p w:rsidR="009F1EFC" w:rsidRDefault="009F1EFC" w:rsidP="00B20593">
      <w:pPr>
        <w:pStyle w:val="Heading3"/>
        <w:rPr>
          <w:rFonts w:eastAsia="Times New Roman"/>
          <w:lang w:eastAsia="en-GB"/>
        </w:rPr>
      </w:pPr>
      <w:bookmarkStart w:id="3" w:name="_Toc4403442"/>
      <w:r w:rsidRPr="009F1EFC">
        <w:rPr>
          <w:rFonts w:eastAsia="Times New Roman"/>
          <w:lang w:eastAsia="en-GB"/>
        </w:rPr>
        <w:t xml:space="preserve">SECTION 1: Calculation of </w:t>
      </w:r>
      <w:r w:rsidR="003E10D4">
        <w:rPr>
          <w:rFonts w:eastAsia="Times New Roman"/>
          <w:lang w:eastAsia="en-GB"/>
        </w:rPr>
        <w:t>Baseline Monthly Payment</w:t>
      </w:r>
      <w:bookmarkEnd w:id="3"/>
    </w:p>
    <w:p w:rsidR="009F1EFC" w:rsidRDefault="009F1EFC" w:rsidP="009F1EFC">
      <w:pPr>
        <w:pStyle w:val="ListParagraph"/>
        <w:numPr>
          <w:ilvl w:val="0"/>
          <w:numId w:val="1"/>
        </w:numPr>
      </w:pPr>
      <w:r>
        <w:t>In row 1</w:t>
      </w:r>
      <w:r w:rsidR="003E10D4">
        <w:t>4</w:t>
      </w:r>
      <w:r>
        <w:t xml:space="preserve">, “Contract Base Cost for </w:t>
      </w:r>
      <w:r w:rsidR="00D9261C">
        <w:t>Month including indexation (excluding TUPE)</w:t>
      </w:r>
      <w:r>
        <w:t>” requires cell C1</w:t>
      </w:r>
      <w:r w:rsidR="003E10D4">
        <w:t>4</w:t>
      </w:r>
      <w:r>
        <w:t xml:space="preserve"> to be completed with the </w:t>
      </w:r>
      <w:r w:rsidR="00D9261C">
        <w:t>month</w:t>
      </w:r>
      <w:r>
        <w:t xml:space="preserve"> value of the contract.</w:t>
      </w:r>
    </w:p>
    <w:p w:rsidR="009F1EFC" w:rsidRDefault="009F1EFC" w:rsidP="009F1EFC">
      <w:pPr>
        <w:pStyle w:val="ListParagraph"/>
        <w:numPr>
          <w:ilvl w:val="0"/>
          <w:numId w:val="1"/>
        </w:numPr>
      </w:pPr>
      <w:r>
        <w:t>In row 1</w:t>
      </w:r>
      <w:r w:rsidR="003E10D4">
        <w:t>6</w:t>
      </w:r>
      <w:r>
        <w:t>, “</w:t>
      </w:r>
      <w:r w:rsidR="00D9261C">
        <w:t>Contract Month Variation Cost including indexation</w:t>
      </w:r>
      <w:r w:rsidR="00E36883">
        <w:t xml:space="preserve"> in Month </w:t>
      </w:r>
      <w:r w:rsidR="003E10D4">
        <w:t>2</w:t>
      </w:r>
      <w:r w:rsidR="00E36883">
        <w:t>” requires cell C1</w:t>
      </w:r>
      <w:r w:rsidR="003E10D4">
        <w:t>6</w:t>
      </w:r>
      <w:r w:rsidR="00E36883">
        <w:t xml:space="preserve"> to be completed with </w:t>
      </w:r>
      <w:r w:rsidR="003E10D4">
        <w:t xml:space="preserve">pricing variations </w:t>
      </w:r>
      <w:r w:rsidR="00E36883">
        <w:t>costs for month “</w:t>
      </w:r>
      <w:r w:rsidR="003E10D4">
        <w:t>2</w:t>
      </w:r>
      <w:r w:rsidR="00E36883">
        <w:t>”. If there are none, then the cell should be populated with “0”.</w:t>
      </w:r>
    </w:p>
    <w:p w:rsidR="0090209F" w:rsidRDefault="00D9261C" w:rsidP="0090209F">
      <w:pPr>
        <w:jc w:val="center"/>
      </w:pPr>
      <w:r>
        <w:rPr>
          <w:noProof/>
          <w:lang w:eastAsia="en-GB"/>
        </w:rPr>
        <w:drawing>
          <wp:inline distT="0" distB="0" distL="0" distR="0" wp14:anchorId="54640816" wp14:editId="7532C2BB">
            <wp:extent cx="4973703" cy="72813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30651" r="34412" b="57347"/>
                    <a:stretch/>
                  </pic:blipFill>
                  <pic:spPr bwMode="auto">
                    <a:xfrm>
                      <a:off x="0" y="0"/>
                      <a:ext cx="5005197" cy="732744"/>
                    </a:xfrm>
                    <a:prstGeom prst="rect">
                      <a:avLst/>
                    </a:prstGeom>
                    <a:ln>
                      <a:noFill/>
                    </a:ln>
                    <a:extLst>
                      <a:ext uri="{53640926-AAD7-44D8-BBD7-CCE9431645EC}">
                        <a14:shadowObscured xmlns:a14="http://schemas.microsoft.com/office/drawing/2010/main"/>
                      </a:ext>
                    </a:extLst>
                  </pic:spPr>
                </pic:pic>
              </a:graphicData>
            </a:graphic>
          </wp:inline>
        </w:drawing>
      </w:r>
    </w:p>
    <w:p w:rsidR="00441313" w:rsidRDefault="00441313" w:rsidP="00E36883">
      <w:r>
        <w:t xml:space="preserve">Hints &amp; Tips – note that </w:t>
      </w:r>
      <w:r w:rsidR="00603452">
        <w:t>a pricing variation (</w:t>
      </w:r>
      <w:r>
        <w:t>Compensation Event</w:t>
      </w:r>
      <w:r w:rsidR="00603452">
        <w:t>)</w:t>
      </w:r>
      <w:r>
        <w:t xml:space="preserve"> may either decrease the monthly fixed sum (</w:t>
      </w:r>
      <w:r w:rsidR="009753D3">
        <w:t xml:space="preserve">say </w:t>
      </w:r>
      <w:r>
        <w:t>a property or building is closed) or increase the monthly fixed fee payable (</w:t>
      </w:r>
      <w:r w:rsidR="009753D3">
        <w:t xml:space="preserve">say </w:t>
      </w:r>
      <w:r>
        <w:t xml:space="preserve">a property or building is opened). It is entirely possible that this could increase the cost to the </w:t>
      </w:r>
      <w:r w:rsidR="00603452">
        <w:t>Buyer</w:t>
      </w:r>
      <w:r>
        <w:t xml:space="preserve"> by as much as 30%. It is advised that the </w:t>
      </w:r>
      <w:r w:rsidR="00603452">
        <w:t>Buyer</w:t>
      </w:r>
      <w:r>
        <w:t xml:space="preserve"> may continue to adjust the “Value of </w:t>
      </w:r>
      <w:r w:rsidR="00603452">
        <w:t>Pricing Variations</w:t>
      </w:r>
      <w:r>
        <w:t xml:space="preserve"> falling due for Payment in Month” cell either up or down over each monthly period as the contract dictates. This allows the </w:t>
      </w:r>
      <w:r w:rsidR="00603452">
        <w:t>Buyer</w:t>
      </w:r>
      <w:r>
        <w:t xml:space="preserve"> to keep track of how much </w:t>
      </w:r>
      <w:r w:rsidR="00603452">
        <w:t>these variations</w:t>
      </w:r>
      <w:r>
        <w:t xml:space="preserve"> have increased or decreased the cost across the estate on a monthly basis. Alternatively, the annual fixed fee can be </w:t>
      </w:r>
      <w:r>
        <w:lastRenderedPageBreak/>
        <w:t xml:space="preserve">adjusted up or down to take account of monthly </w:t>
      </w:r>
      <w:r w:rsidR="00603452">
        <w:t>variations</w:t>
      </w:r>
      <w:r>
        <w:t xml:space="preserve"> affecting the price, thus negating the need to complete the “Value of </w:t>
      </w:r>
      <w:r w:rsidR="00603452">
        <w:t>Price Variations</w:t>
      </w:r>
      <w:r>
        <w:t xml:space="preserve"> falling due for Payment in Month” cell.</w:t>
      </w:r>
    </w:p>
    <w:p w:rsidR="00E36883" w:rsidRDefault="00E36883" w:rsidP="00B20593">
      <w:pPr>
        <w:pStyle w:val="Heading3"/>
      </w:pPr>
      <w:bookmarkStart w:id="4" w:name="_Toc4403443"/>
      <w:r w:rsidRPr="00E36883">
        <w:t xml:space="preserve">SECTION 2: </w:t>
      </w:r>
      <w:r w:rsidR="00850A18">
        <w:t>Calculation of Monthly Value at Risk</w:t>
      </w:r>
      <w:bookmarkEnd w:id="4"/>
    </w:p>
    <w:p w:rsidR="00850A18" w:rsidRDefault="00850A18" w:rsidP="00850A18">
      <w:pPr>
        <w:pStyle w:val="ListParagraph"/>
        <w:numPr>
          <w:ilvl w:val="0"/>
          <w:numId w:val="2"/>
        </w:numPr>
      </w:pPr>
      <w:r>
        <w:t xml:space="preserve">Cell C26 of this section is automatically calculated, drawing from Cell C18 which has already calculated the “Baseline Monthly Payment”, and in consideration of Cell C24 which provides the percentage </w:t>
      </w:r>
      <w:r w:rsidR="005A3A70">
        <w:t>“Monthly V</w:t>
      </w:r>
      <w:r>
        <w:t xml:space="preserve">alue at </w:t>
      </w:r>
      <w:r w:rsidR="005A3A70">
        <w:t>R</w:t>
      </w:r>
      <w:r>
        <w:t>isk</w:t>
      </w:r>
      <w:r w:rsidR="005A3A70">
        <w:t>”</w:t>
      </w:r>
      <w:r>
        <w:t xml:space="preserve"> set by the Buyer. The percentage value at risk is calculated against the “Baseline Monthly Payment” and represents the </w:t>
      </w:r>
      <w:r w:rsidR="005A3A70">
        <w:t xml:space="preserve">maximum </w:t>
      </w:r>
      <w:r>
        <w:t>£sterling amount that may be deducted in the event that KPIs are not met. Th</w:t>
      </w:r>
      <w:r w:rsidR="005A3A70">
        <w:t>e framework agreement caps th</w:t>
      </w:r>
      <w:r>
        <w:t>is figure at 6%. It may be lowered by the Buyer but may not be set higher.</w:t>
      </w:r>
    </w:p>
    <w:p w:rsidR="0090209F" w:rsidRDefault="00850A18" w:rsidP="0090209F">
      <w:pPr>
        <w:jc w:val="center"/>
      </w:pPr>
      <w:r>
        <w:rPr>
          <w:noProof/>
          <w:lang w:eastAsia="en-GB"/>
        </w:rPr>
        <w:drawing>
          <wp:inline distT="0" distB="0" distL="0" distR="0" wp14:anchorId="117D18B2" wp14:editId="65E077F3">
            <wp:extent cx="4221480" cy="61722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66" t="30910" r="26080" b="55630"/>
                    <a:stretch/>
                  </pic:blipFill>
                  <pic:spPr bwMode="auto">
                    <a:xfrm>
                      <a:off x="0" y="0"/>
                      <a:ext cx="4221480" cy="617220"/>
                    </a:xfrm>
                    <a:prstGeom prst="rect">
                      <a:avLst/>
                    </a:prstGeom>
                    <a:ln>
                      <a:noFill/>
                    </a:ln>
                    <a:extLst>
                      <a:ext uri="{53640926-AAD7-44D8-BBD7-CCE9431645EC}">
                        <a14:shadowObscured xmlns:a14="http://schemas.microsoft.com/office/drawing/2010/main"/>
                      </a:ext>
                    </a:extLst>
                  </pic:spPr>
                </pic:pic>
              </a:graphicData>
            </a:graphic>
          </wp:inline>
        </w:drawing>
      </w:r>
    </w:p>
    <w:p w:rsidR="00E36883" w:rsidRDefault="00506AB4" w:rsidP="00506AB4">
      <w:r>
        <w:t xml:space="preserve">Hints &amp; Tips – note that </w:t>
      </w:r>
      <w:r w:rsidR="00E36883">
        <w:t xml:space="preserve">the </w:t>
      </w:r>
      <w:r w:rsidR="005A3A70">
        <w:t>“Monthly Total Value at Risk” is pulled through to the “Performance Deduction Calc” sheet and will be referenced by appropriate formulas to ensure that any collective deductions made as a result of KPIs not being met will not exceed this “Total Monthly Value at Risk”.</w:t>
      </w:r>
    </w:p>
    <w:p w:rsidR="00D05AB5" w:rsidRDefault="005A3A70" w:rsidP="00B20593">
      <w:pPr>
        <w:pStyle w:val="Heading3"/>
      </w:pPr>
      <w:bookmarkStart w:id="5" w:name="_Toc4403444"/>
      <w:r>
        <w:t xml:space="preserve">Input for </w:t>
      </w:r>
      <w:r w:rsidR="00DA5241">
        <w:t xml:space="preserve">Pass through Costs </w:t>
      </w:r>
      <w:r>
        <w:t>for Previous Contract Month</w:t>
      </w:r>
      <w:bookmarkEnd w:id="5"/>
    </w:p>
    <w:p w:rsidR="00D05AB5" w:rsidRDefault="005A3A70" w:rsidP="00D05AB5">
      <w:pPr>
        <w:pStyle w:val="ListParagraph"/>
        <w:numPr>
          <w:ilvl w:val="0"/>
          <w:numId w:val="2"/>
        </w:numPr>
      </w:pPr>
      <w:r>
        <w:t>This section requires the “</w:t>
      </w:r>
      <w:r w:rsidRPr="00334BCC">
        <w:t xml:space="preserve">Input for </w:t>
      </w:r>
      <w:r w:rsidR="00DA5241">
        <w:t>Pass through Costs</w:t>
      </w:r>
      <w:r w:rsidRPr="00334BCC">
        <w:t xml:space="preserve"> for Previous Contract Month</w:t>
      </w:r>
      <w:r>
        <w:t xml:space="preserve">”. As this guidance is concerned with using month “2”, this area would be looking to ascertain if there was a </w:t>
      </w:r>
      <w:r w:rsidR="00DA5241">
        <w:t>Pass through Costs</w:t>
      </w:r>
      <w:r>
        <w:t xml:space="preserve"> for the previous Month “1”. Add the costs as may be appropriate.</w:t>
      </w:r>
    </w:p>
    <w:p w:rsidR="00685247" w:rsidRDefault="00DA5241" w:rsidP="00685247">
      <w:pPr>
        <w:jc w:val="center"/>
      </w:pPr>
      <w:r>
        <w:rPr>
          <w:noProof/>
          <w:lang w:eastAsia="en-GB"/>
        </w:rPr>
        <w:drawing>
          <wp:inline distT="0" distB="0" distL="0" distR="0" wp14:anchorId="2A3343ED" wp14:editId="5165FCFD">
            <wp:extent cx="4656137" cy="448733"/>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28069" r="34116" b="63994"/>
                    <a:stretch/>
                  </pic:blipFill>
                  <pic:spPr bwMode="auto">
                    <a:xfrm>
                      <a:off x="0" y="0"/>
                      <a:ext cx="4694679" cy="452448"/>
                    </a:xfrm>
                    <a:prstGeom prst="rect">
                      <a:avLst/>
                    </a:prstGeom>
                    <a:ln>
                      <a:noFill/>
                    </a:ln>
                    <a:extLst>
                      <a:ext uri="{53640926-AAD7-44D8-BBD7-CCE9431645EC}">
                        <a14:shadowObscured xmlns:a14="http://schemas.microsoft.com/office/drawing/2010/main"/>
                      </a:ext>
                    </a:extLst>
                  </pic:spPr>
                </pic:pic>
              </a:graphicData>
            </a:graphic>
          </wp:inline>
        </w:drawing>
      </w:r>
    </w:p>
    <w:p w:rsidR="005239CE" w:rsidRDefault="005239CE" w:rsidP="005239CE">
      <w:r>
        <w:t xml:space="preserve">Hints &amp; Tips – note that </w:t>
      </w:r>
      <w:r w:rsidR="00DA5241">
        <w:t>Pass through Costs</w:t>
      </w:r>
      <w:r w:rsidR="005A3A70">
        <w:t xml:space="preserve"> will not be included in the calculation that provides the “Monthly Total Value at Risk”</w:t>
      </w:r>
      <w:r w:rsidR="003E3DEC">
        <w:t>.</w:t>
      </w:r>
    </w:p>
    <w:p w:rsidR="003E3DEC" w:rsidRDefault="003E3DEC" w:rsidP="003E3DEC">
      <w:pPr>
        <w:pStyle w:val="Heading3"/>
      </w:pPr>
      <w:bookmarkStart w:id="6" w:name="_Toc4403445"/>
      <w:r>
        <w:t xml:space="preserve">Input of </w:t>
      </w:r>
      <w:r w:rsidR="00857174">
        <w:t>Work Orders</w:t>
      </w:r>
      <w:r>
        <w:t xml:space="preserve"> for Previous Contract Month</w:t>
      </w:r>
      <w:bookmarkEnd w:id="6"/>
    </w:p>
    <w:p w:rsidR="003E3DEC" w:rsidRDefault="003E3DEC" w:rsidP="003E3DEC">
      <w:pPr>
        <w:pStyle w:val="ListParagraph"/>
        <w:numPr>
          <w:ilvl w:val="0"/>
          <w:numId w:val="2"/>
        </w:numPr>
      </w:pPr>
      <w:r>
        <w:t>This section requires the input of “</w:t>
      </w:r>
      <w:r w:rsidRPr="00334BCC">
        <w:t xml:space="preserve">Input </w:t>
      </w:r>
      <w:r>
        <w:t>of</w:t>
      </w:r>
      <w:r w:rsidRPr="00334BCC">
        <w:t xml:space="preserve"> </w:t>
      </w:r>
      <w:r w:rsidR="00857174">
        <w:t>Work Orders</w:t>
      </w:r>
      <w:r w:rsidRPr="00334BCC">
        <w:t xml:space="preserve"> for Previous Contract Month</w:t>
      </w:r>
      <w:r>
        <w:t xml:space="preserve">”. As this guidance is concerned with using month “2”, this area would be looking to ascertain if there was any </w:t>
      </w:r>
      <w:r w:rsidR="00857174">
        <w:t>Work Orders</w:t>
      </w:r>
      <w:r>
        <w:t xml:space="preserve"> for the previous Month “1”. Add these costs as may be appropriate.</w:t>
      </w:r>
    </w:p>
    <w:p w:rsidR="003E3DEC" w:rsidRDefault="00857174" w:rsidP="003E3DEC">
      <w:pPr>
        <w:jc w:val="center"/>
      </w:pPr>
      <w:r>
        <w:rPr>
          <w:noProof/>
          <w:lang w:eastAsia="en-GB"/>
        </w:rPr>
        <w:drawing>
          <wp:inline distT="0" distB="0" distL="0" distR="0" wp14:anchorId="4596C482" wp14:editId="707B3040">
            <wp:extent cx="5025889" cy="474133"/>
            <wp:effectExtent l="0" t="0" r="381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 t="28254" r="34264" b="63994"/>
                    <a:stretch/>
                  </pic:blipFill>
                  <pic:spPr bwMode="auto">
                    <a:xfrm>
                      <a:off x="0" y="0"/>
                      <a:ext cx="5054620" cy="476843"/>
                    </a:xfrm>
                    <a:prstGeom prst="rect">
                      <a:avLst/>
                    </a:prstGeom>
                    <a:ln>
                      <a:noFill/>
                    </a:ln>
                    <a:extLst>
                      <a:ext uri="{53640926-AAD7-44D8-BBD7-CCE9431645EC}">
                        <a14:shadowObscured xmlns:a14="http://schemas.microsoft.com/office/drawing/2010/main"/>
                      </a:ext>
                    </a:extLst>
                  </pic:spPr>
                </pic:pic>
              </a:graphicData>
            </a:graphic>
          </wp:inline>
        </w:drawing>
      </w:r>
    </w:p>
    <w:p w:rsidR="003E3DEC" w:rsidRDefault="003E3DEC" w:rsidP="003E3DEC">
      <w:r>
        <w:t xml:space="preserve">Hints &amp; Tips – note that the cost of </w:t>
      </w:r>
      <w:r w:rsidR="00857174">
        <w:t>Work Orders</w:t>
      </w:r>
      <w:r>
        <w:t xml:space="preserve"> will not be included in the calculation that provides the “Monthly Total Value at Risk”.</w:t>
      </w:r>
    </w:p>
    <w:p w:rsidR="005239CE" w:rsidRDefault="005239CE" w:rsidP="00B20593">
      <w:pPr>
        <w:pStyle w:val="Heading3"/>
        <w:rPr>
          <w:rFonts w:eastAsia="Times New Roman"/>
          <w:lang w:eastAsia="en-GB"/>
        </w:rPr>
      </w:pPr>
      <w:bookmarkStart w:id="7" w:name="_Toc4403446"/>
      <w:r w:rsidRPr="000F269E">
        <w:rPr>
          <w:rFonts w:eastAsia="Times New Roman"/>
          <w:lang w:eastAsia="en-GB"/>
        </w:rPr>
        <w:t xml:space="preserve">SECTION </w:t>
      </w:r>
      <w:r w:rsidR="003E3DEC">
        <w:rPr>
          <w:rFonts w:eastAsia="Times New Roman"/>
          <w:lang w:eastAsia="en-GB"/>
        </w:rPr>
        <w:t>3</w:t>
      </w:r>
      <w:r w:rsidRPr="000F269E">
        <w:rPr>
          <w:rFonts w:eastAsia="Times New Roman"/>
          <w:lang w:eastAsia="en-GB"/>
        </w:rPr>
        <w:t xml:space="preserve">: </w:t>
      </w:r>
      <w:r w:rsidR="0060226E">
        <w:rPr>
          <w:rFonts w:eastAsia="Times New Roman"/>
          <w:lang w:eastAsia="en-GB"/>
        </w:rPr>
        <w:t>Input TUPE Risk Premium for Previous Month.</w:t>
      </w:r>
      <w:bookmarkEnd w:id="7"/>
      <w:r w:rsidRPr="000F269E">
        <w:rPr>
          <w:rFonts w:eastAsia="Times New Roman"/>
          <w:lang w:eastAsia="en-GB"/>
        </w:rPr>
        <w:t xml:space="preserve"> </w:t>
      </w:r>
    </w:p>
    <w:p w:rsidR="0073400D" w:rsidRDefault="0073400D" w:rsidP="00334BCC">
      <w:pPr>
        <w:pStyle w:val="ListParagraph"/>
        <w:numPr>
          <w:ilvl w:val="0"/>
          <w:numId w:val="2"/>
        </w:numPr>
      </w:pPr>
      <w:r>
        <w:t>This section requires the input of the “Calculation of TUPE Risk Premium for Previous Month”. As this guidance is concerned with using month “2”, this area would be looking to ascertain if there was any TUPE Risk Premium costs for the previous Month “1”. Add these costs as may be appropriate.</w:t>
      </w:r>
    </w:p>
    <w:p w:rsidR="00685247" w:rsidRDefault="0073400D" w:rsidP="00721AE5">
      <w:pPr>
        <w:ind w:left="360"/>
        <w:jc w:val="center"/>
      </w:pPr>
      <w:r>
        <w:rPr>
          <w:noProof/>
          <w:lang w:eastAsia="en-GB"/>
        </w:rPr>
        <w:drawing>
          <wp:inline distT="0" distB="0" distL="0" distR="0" wp14:anchorId="4CE31406" wp14:editId="7B6DBBBB">
            <wp:extent cx="5016500" cy="508000"/>
            <wp:effectExtent l="0" t="0" r="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65" t="30910" r="26214" b="59784"/>
                    <a:stretch/>
                  </pic:blipFill>
                  <pic:spPr bwMode="auto">
                    <a:xfrm>
                      <a:off x="0" y="0"/>
                      <a:ext cx="5037771" cy="510154"/>
                    </a:xfrm>
                    <a:prstGeom prst="rect">
                      <a:avLst/>
                    </a:prstGeom>
                    <a:ln>
                      <a:noFill/>
                    </a:ln>
                    <a:extLst>
                      <a:ext uri="{53640926-AAD7-44D8-BBD7-CCE9431645EC}">
                        <a14:shadowObscured xmlns:a14="http://schemas.microsoft.com/office/drawing/2010/main"/>
                      </a:ext>
                    </a:extLst>
                  </pic:spPr>
                </pic:pic>
              </a:graphicData>
            </a:graphic>
          </wp:inline>
        </w:drawing>
      </w:r>
    </w:p>
    <w:p w:rsidR="0073400D" w:rsidRDefault="0073400D" w:rsidP="0073400D">
      <w:r>
        <w:lastRenderedPageBreak/>
        <w:t>Hints &amp; Tips – note that the cost of TUPE Risk Premium will not be included in the calculation that provides the “Monthly Total Value at Risk”.</w:t>
      </w:r>
    </w:p>
    <w:p w:rsidR="0073400D" w:rsidRDefault="0073400D" w:rsidP="00721AE5">
      <w:pPr>
        <w:ind w:left="360"/>
        <w:jc w:val="center"/>
      </w:pPr>
    </w:p>
    <w:p w:rsidR="00334BCC" w:rsidRPr="000F269E" w:rsidRDefault="00334BCC" w:rsidP="00B20593">
      <w:pPr>
        <w:pStyle w:val="Heading3"/>
      </w:pPr>
      <w:bookmarkStart w:id="8" w:name="_Toc4403447"/>
      <w:r w:rsidRPr="000F269E">
        <w:t xml:space="preserve">SECTION </w:t>
      </w:r>
      <w:r w:rsidR="00D16FA0">
        <w:t>4</w:t>
      </w:r>
      <w:r w:rsidRPr="000F269E">
        <w:t xml:space="preserve">: </w:t>
      </w:r>
      <w:r w:rsidR="00B20ABF" w:rsidRPr="000F269E">
        <w:t xml:space="preserve">Calculation of Performance </w:t>
      </w:r>
      <w:r w:rsidR="00B20ABF">
        <w:t>Adjustment</w:t>
      </w:r>
      <w:r w:rsidR="00B20ABF" w:rsidRPr="000F269E">
        <w:t xml:space="preserve"> </w:t>
      </w:r>
      <w:r w:rsidR="00B20ABF">
        <w:t xml:space="preserve">and Earnback </w:t>
      </w:r>
      <w:r w:rsidR="00B20ABF" w:rsidRPr="000F269E">
        <w:t>for Previous Month</w:t>
      </w:r>
      <w:bookmarkEnd w:id="8"/>
    </w:p>
    <w:p w:rsidR="00B20ABF" w:rsidRDefault="00B20ABF" w:rsidP="00B20ABF">
      <w:pPr>
        <w:pStyle w:val="ListParagraph"/>
        <w:numPr>
          <w:ilvl w:val="0"/>
          <w:numId w:val="3"/>
        </w:numPr>
      </w:pPr>
      <w:r>
        <w:t xml:space="preserve">This section automatically draws the Performance Adjustment for the previous month into the calculation and deducts any amount (below or equal to the 6% cap) from the Monthly Fee due. The total figure will also consider the Earnback %, as described in more detail later on in this </w:t>
      </w:r>
      <w:r w:rsidRPr="001C4A60">
        <w:t>guidance</w:t>
      </w:r>
      <w:r>
        <w:t>.</w:t>
      </w:r>
    </w:p>
    <w:p w:rsidR="00B20ABF" w:rsidRDefault="004D6EBA" w:rsidP="00B20ABF">
      <w:pPr>
        <w:ind w:left="360"/>
        <w:jc w:val="center"/>
      </w:pPr>
      <w:r>
        <w:rPr>
          <w:noProof/>
          <w:lang w:eastAsia="en-GB"/>
        </w:rPr>
        <w:drawing>
          <wp:inline distT="0" distB="0" distL="0" distR="0" wp14:anchorId="5A4B58DA" wp14:editId="02FD8431">
            <wp:extent cx="4701354" cy="777240"/>
            <wp:effectExtent l="0" t="0" r="4445"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28417" r="34057" b="57956"/>
                    <a:stretch/>
                  </pic:blipFill>
                  <pic:spPr bwMode="auto">
                    <a:xfrm>
                      <a:off x="0" y="0"/>
                      <a:ext cx="4707156" cy="778199"/>
                    </a:xfrm>
                    <a:prstGeom prst="rect">
                      <a:avLst/>
                    </a:prstGeom>
                    <a:ln>
                      <a:noFill/>
                    </a:ln>
                    <a:extLst>
                      <a:ext uri="{53640926-AAD7-44D8-BBD7-CCE9431645EC}">
                        <a14:shadowObscured xmlns:a14="http://schemas.microsoft.com/office/drawing/2010/main"/>
                      </a:ext>
                    </a:extLst>
                  </pic:spPr>
                </pic:pic>
              </a:graphicData>
            </a:graphic>
          </wp:inline>
        </w:drawing>
      </w:r>
    </w:p>
    <w:p w:rsidR="00334BCC" w:rsidRDefault="00B20ABF" w:rsidP="00B20ABF">
      <w:pPr>
        <w:ind w:left="360"/>
      </w:pPr>
      <w:r>
        <w:t>Hints &amp; Tips – the calculation for the Performance Adjustment is drawn from the “Performance Deduction Calc” tab and the “Perf Earnback</w:t>
      </w:r>
      <w:r w:rsidR="00013691">
        <w:t xml:space="preserve"> </w:t>
      </w:r>
      <w:r>
        <w:t>Retention Calc” tab, which in turn is fed by data lifted from the completed KPI Model. Details on how the calculations within both the “Performance Deduction Calc” and “Perf Earnback_Retention Calc” tab are derived is given later on in this guidance.</w:t>
      </w:r>
    </w:p>
    <w:p w:rsidR="000F269E" w:rsidRPr="000F269E" w:rsidRDefault="000F269E" w:rsidP="00B20593">
      <w:pPr>
        <w:pStyle w:val="Heading3"/>
      </w:pPr>
      <w:bookmarkStart w:id="9" w:name="_Toc4403448"/>
      <w:r w:rsidRPr="000F269E">
        <w:t xml:space="preserve">SECTION </w:t>
      </w:r>
      <w:r w:rsidR="000264BA">
        <w:t>5</w:t>
      </w:r>
      <w:r w:rsidRPr="000F269E">
        <w:t>: Calculation of the Monthly Payment (MPn)</w:t>
      </w:r>
      <w:bookmarkEnd w:id="9"/>
    </w:p>
    <w:p w:rsidR="000F269E" w:rsidRDefault="000F269E" w:rsidP="000F269E">
      <w:pPr>
        <w:pStyle w:val="ListParagraph"/>
        <w:numPr>
          <w:ilvl w:val="0"/>
          <w:numId w:val="3"/>
        </w:numPr>
      </w:pPr>
      <w:r>
        <w:t xml:space="preserve">This section collates all of the information provided in Sections 1 to </w:t>
      </w:r>
      <w:r w:rsidR="000264BA">
        <w:t>4</w:t>
      </w:r>
      <w:r>
        <w:t xml:space="preserve"> and provides a final calculation for the Monthly Fee due to the Supplier.</w:t>
      </w:r>
    </w:p>
    <w:p w:rsidR="00721AE5" w:rsidRDefault="004D6EBA" w:rsidP="00721AE5">
      <w:pPr>
        <w:jc w:val="center"/>
      </w:pPr>
      <w:r>
        <w:rPr>
          <w:noProof/>
          <w:lang w:eastAsia="en-GB"/>
        </w:rPr>
        <w:drawing>
          <wp:inline distT="0" distB="0" distL="0" distR="0" wp14:anchorId="55F60499" wp14:editId="293B610B">
            <wp:extent cx="5359021" cy="7239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28584" r="34057" b="60282"/>
                    <a:stretch/>
                  </pic:blipFill>
                  <pic:spPr bwMode="auto">
                    <a:xfrm>
                      <a:off x="0" y="0"/>
                      <a:ext cx="5363032" cy="724442"/>
                    </a:xfrm>
                    <a:prstGeom prst="rect">
                      <a:avLst/>
                    </a:prstGeom>
                    <a:ln>
                      <a:noFill/>
                    </a:ln>
                    <a:extLst>
                      <a:ext uri="{53640926-AAD7-44D8-BBD7-CCE9431645EC}">
                        <a14:shadowObscured xmlns:a14="http://schemas.microsoft.com/office/drawing/2010/main"/>
                      </a:ext>
                    </a:extLst>
                  </pic:spPr>
                </pic:pic>
              </a:graphicData>
            </a:graphic>
          </wp:inline>
        </w:drawing>
      </w:r>
    </w:p>
    <w:p w:rsidR="009B2F65" w:rsidRPr="00B20593" w:rsidRDefault="009B2F65" w:rsidP="00B20593">
      <w:pPr>
        <w:pStyle w:val="Heading1"/>
        <w:rPr>
          <w:sz w:val="28"/>
          <w:szCs w:val="28"/>
        </w:rPr>
      </w:pPr>
      <w:bookmarkStart w:id="10" w:name="_Toc4403449"/>
      <w:r w:rsidRPr="00B20593">
        <w:rPr>
          <w:sz w:val="28"/>
          <w:szCs w:val="28"/>
        </w:rPr>
        <w:t>Performance Deduction Calc worksheet</w:t>
      </w:r>
      <w:bookmarkEnd w:id="10"/>
    </w:p>
    <w:p w:rsidR="00EF2FB0" w:rsidRDefault="00EF2FB0" w:rsidP="009B2F65">
      <w:r>
        <w:t xml:space="preserve">The “Performance Deduction Calc” tab includes a number of tables which effectively receive information collated from the completed KPI Model containing all of the measures the </w:t>
      </w:r>
      <w:r w:rsidR="00603452">
        <w:t>Buyer</w:t>
      </w:r>
      <w:r>
        <w:t xml:space="preserve"> has stipulated must be met in order for a full Monthly Payment to be made to the Supplier. </w:t>
      </w:r>
      <w:r w:rsidR="00766A2F">
        <w:t>“</w:t>
      </w:r>
      <w:r>
        <w:t xml:space="preserve">Table </w:t>
      </w:r>
      <w:r w:rsidR="00766A2F">
        <w:t xml:space="preserve">2. KPIs”, “KPI Deduction” column </w:t>
      </w:r>
      <w:r>
        <w:t>from the “</w:t>
      </w:r>
      <w:r w:rsidR="00766A2F">
        <w:t>Performance Criteria</w:t>
      </w:r>
      <w:r>
        <w:t xml:space="preserve">” tab </w:t>
      </w:r>
      <w:r w:rsidR="00E14292">
        <w:t xml:space="preserve">of the KPI Model is copied and pasted into the </w:t>
      </w:r>
      <w:r w:rsidR="00766A2F">
        <w:t xml:space="preserve">“Table 1” in the </w:t>
      </w:r>
      <w:r w:rsidR="00E14292">
        <w:t>“Performance Deduction Calc” tab.</w:t>
      </w:r>
    </w:p>
    <w:p w:rsidR="009B2F65" w:rsidRDefault="00E14292" w:rsidP="009B2F65">
      <w:r>
        <w:t xml:space="preserve">The purpose of each table within </w:t>
      </w:r>
      <w:r w:rsidR="00766A2F">
        <w:t>the “Performance Deduction Calc”</w:t>
      </w:r>
      <w:r>
        <w:t xml:space="preserve"> tab is described and explained as follows;</w:t>
      </w:r>
    </w:p>
    <w:p w:rsidR="00E14292" w:rsidRPr="00E14292" w:rsidRDefault="00E14292" w:rsidP="00B20593">
      <w:pPr>
        <w:pStyle w:val="Heading2"/>
      </w:pPr>
      <w:bookmarkStart w:id="11" w:name="_Toc4403450"/>
      <w:r w:rsidRPr="00E14292">
        <w:t>Table 1 – Ratchet Options.</w:t>
      </w:r>
      <w:bookmarkEnd w:id="11"/>
    </w:p>
    <w:p w:rsidR="009B2F65" w:rsidRDefault="00E14292" w:rsidP="009B2F65">
      <w:r>
        <w:t>The Ratchet Options table illustrates the “loading” of consistently failed measures by the Supplier. Simply put</w:t>
      </w:r>
      <w:r w:rsidR="000808DC">
        <w:t>,</w:t>
      </w:r>
      <w:r>
        <w:t xml:space="preserve"> for the second consecutive failure of a measure, the penalty is “ratchetted” up by a factor of 1.50, for the third failure by 1.75 and the fourth by 2.0. Where there are 3 failures of a measure o</w:t>
      </w:r>
      <w:r w:rsidR="003258CA">
        <w:t xml:space="preserve">ver </w:t>
      </w:r>
      <w:r>
        <w:t xml:space="preserve">a rolling 12 month period, </w:t>
      </w:r>
      <w:r w:rsidR="003258CA">
        <w:t>this</w:t>
      </w:r>
      <w:r>
        <w:t xml:space="preserve"> measure will thereafter </w:t>
      </w:r>
      <w:r w:rsidR="003258CA">
        <w:t>suffer</w:t>
      </w:r>
      <w:r>
        <w:t xml:space="preserve"> a deduction of 1.50 applied</w:t>
      </w:r>
      <w:r w:rsidR="003258CA">
        <w:t xml:space="preserve"> whether this is met or not</w:t>
      </w:r>
      <w:r>
        <w:t xml:space="preserve">. </w:t>
      </w:r>
      <w:r w:rsidR="003258CA">
        <w:t xml:space="preserve">Where there are 4 or 5 failures of a measure over a rolling 12 month period, this measure will thereafter suffer a deduction of 1.75 applied whether this is met or not. Where there are 6,7,8,9,10,11 or 12 failures of a measure over a rolling 12 month period, this </w:t>
      </w:r>
      <w:r w:rsidR="003258CA">
        <w:lastRenderedPageBreak/>
        <w:t xml:space="preserve">measure will thereafter suffer a deduction of 2.00 applied whether this is met or not. Any deductions will be capped at 6% of the </w:t>
      </w:r>
      <w:r w:rsidR="00E6620F">
        <w:t xml:space="preserve">Total </w:t>
      </w:r>
      <w:r w:rsidR="003258CA">
        <w:t>Monthly Fee at Risk.</w:t>
      </w:r>
    </w:p>
    <w:p w:rsidR="003832A2" w:rsidRDefault="003832A2" w:rsidP="003832A2">
      <w:pPr>
        <w:jc w:val="center"/>
      </w:pPr>
      <w:r>
        <w:rPr>
          <w:noProof/>
          <w:lang w:eastAsia="en-GB"/>
        </w:rPr>
        <w:drawing>
          <wp:inline distT="0" distB="0" distL="0" distR="0" wp14:anchorId="48346D15" wp14:editId="2DE93E00">
            <wp:extent cx="3642360" cy="8382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6481" r="36450" b="75239"/>
                    <a:stretch/>
                  </pic:blipFill>
                  <pic:spPr bwMode="auto">
                    <a:xfrm>
                      <a:off x="0" y="0"/>
                      <a:ext cx="3642360" cy="838200"/>
                    </a:xfrm>
                    <a:prstGeom prst="rect">
                      <a:avLst/>
                    </a:prstGeom>
                    <a:ln>
                      <a:noFill/>
                    </a:ln>
                    <a:extLst>
                      <a:ext uri="{53640926-AAD7-44D8-BBD7-CCE9431645EC}">
                        <a14:shadowObscured xmlns:a14="http://schemas.microsoft.com/office/drawing/2010/main"/>
                      </a:ext>
                    </a:extLst>
                  </pic:spPr>
                </pic:pic>
              </a:graphicData>
            </a:graphic>
          </wp:inline>
        </w:drawing>
      </w:r>
    </w:p>
    <w:p w:rsidR="003258CA" w:rsidRPr="00E14292" w:rsidRDefault="003258CA" w:rsidP="00B20593">
      <w:pPr>
        <w:pStyle w:val="Heading2"/>
      </w:pPr>
      <w:bookmarkStart w:id="12" w:name="_Toc4403451"/>
      <w:r w:rsidRPr="00E14292">
        <w:t xml:space="preserve">Table 1 – </w:t>
      </w:r>
      <w:r>
        <w:t>Actual Deductions</w:t>
      </w:r>
      <w:r w:rsidRPr="00E14292">
        <w:t>.</w:t>
      </w:r>
      <w:bookmarkEnd w:id="12"/>
    </w:p>
    <w:p w:rsidR="009B2F65" w:rsidRDefault="003258CA" w:rsidP="009B2F65">
      <w:r>
        <w:t xml:space="preserve">This table will receive the figures collated within the </w:t>
      </w:r>
      <w:r w:rsidR="00603452">
        <w:t>Buyer</w:t>
      </w:r>
      <w:r>
        <w:t>s KPI Model, “</w:t>
      </w:r>
      <w:r w:rsidR="00E6620F">
        <w:t>Performance Criteria</w:t>
      </w:r>
      <w:r>
        <w:t>” tab from</w:t>
      </w:r>
      <w:r w:rsidR="00E6620F">
        <w:t xml:space="preserve"> the</w:t>
      </w:r>
      <w:r>
        <w:t xml:space="preserve"> </w:t>
      </w:r>
      <w:r w:rsidR="00E6620F">
        <w:t>“KPI Deduction” column of “Table 2. KPIs”</w:t>
      </w:r>
      <w:r>
        <w:t xml:space="preserve">. </w:t>
      </w:r>
      <w:r w:rsidR="00E6620F">
        <w:t>“</w:t>
      </w:r>
      <w:r>
        <w:t xml:space="preserve">Table </w:t>
      </w:r>
      <w:r w:rsidR="00E6620F">
        <w:t>2</w:t>
      </w:r>
      <w:r>
        <w:t xml:space="preserve"> </w:t>
      </w:r>
      <w:r w:rsidR="00E6620F">
        <w:t xml:space="preserve">KPIs” </w:t>
      </w:r>
      <w:r>
        <w:t xml:space="preserve">collates all of the results across the monthly period and calculates the costs that will be deducted from the Monthly Payment of the same period. </w:t>
      </w:r>
      <w:r w:rsidR="00E6620F">
        <w:t>“</w:t>
      </w:r>
      <w:r>
        <w:t xml:space="preserve">Table </w:t>
      </w:r>
      <w:r w:rsidR="00E6620F">
        <w:t>2</w:t>
      </w:r>
      <w:r>
        <w:t xml:space="preserve"> </w:t>
      </w:r>
      <w:r w:rsidR="00E6620F">
        <w:t xml:space="preserve">KPIs” </w:t>
      </w:r>
      <w:r>
        <w:t>is simply copied and pasted into the appropriate column labelled for each period of the contract.</w:t>
      </w:r>
    </w:p>
    <w:p w:rsidR="00D652C0" w:rsidRDefault="00013691" w:rsidP="00D652C0">
      <w:pPr>
        <w:jc w:val="center"/>
      </w:pPr>
      <w:r>
        <w:rPr>
          <w:noProof/>
          <w:lang w:eastAsia="en-GB"/>
        </w:rPr>
        <w:drawing>
          <wp:inline distT="0" distB="0" distL="0" distR="0" wp14:anchorId="00409E30" wp14:editId="6C7EFF41">
            <wp:extent cx="5619063" cy="960120"/>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33" t="28250" r="5207" b="51475"/>
                    <a:stretch/>
                  </pic:blipFill>
                  <pic:spPr bwMode="auto">
                    <a:xfrm>
                      <a:off x="0" y="0"/>
                      <a:ext cx="5620532" cy="960371"/>
                    </a:xfrm>
                    <a:prstGeom prst="rect">
                      <a:avLst/>
                    </a:prstGeom>
                    <a:ln>
                      <a:noFill/>
                    </a:ln>
                    <a:extLst>
                      <a:ext uri="{53640926-AAD7-44D8-BBD7-CCE9431645EC}">
                        <a14:shadowObscured xmlns:a14="http://schemas.microsoft.com/office/drawing/2010/main"/>
                      </a:ext>
                    </a:extLst>
                  </pic:spPr>
                </pic:pic>
              </a:graphicData>
            </a:graphic>
          </wp:inline>
        </w:drawing>
      </w:r>
    </w:p>
    <w:p w:rsidR="003832A2" w:rsidRDefault="003832A2" w:rsidP="009B2F65">
      <w:r>
        <w:t xml:space="preserve">Hints &amp; Tips – Make sure when the figures are copied from </w:t>
      </w:r>
      <w:r w:rsidR="00E6620F">
        <w:t>“</w:t>
      </w:r>
      <w:r>
        <w:t xml:space="preserve">Table </w:t>
      </w:r>
      <w:r w:rsidR="00E6620F">
        <w:t>2 KPIs”</w:t>
      </w:r>
      <w:r>
        <w:t xml:space="preserve"> of the completed KPI Model that</w:t>
      </w:r>
      <w:r w:rsidR="00D652C0">
        <w:t xml:space="preserve"> </w:t>
      </w:r>
      <w:r>
        <w:t xml:space="preserve">”Paste Special” is selected along with “Values and Formats Only” before they are copied into </w:t>
      </w:r>
      <w:r w:rsidR="00D652C0">
        <w:t xml:space="preserve">Table 1. This action will remove any formulas lifted from the KPI Model and ensure no errors occur during the copy </w:t>
      </w:r>
      <w:r w:rsidR="00E6620F">
        <w:t xml:space="preserve">and paste </w:t>
      </w:r>
      <w:r w:rsidR="00D652C0">
        <w:t>process.</w:t>
      </w:r>
    </w:p>
    <w:p w:rsidR="00D70B20" w:rsidRDefault="00D70B20" w:rsidP="00B20593">
      <w:pPr>
        <w:pStyle w:val="Heading2"/>
      </w:pPr>
      <w:bookmarkStart w:id="13" w:name="_Toc4403452"/>
      <w:r w:rsidRPr="00E14292">
        <w:t xml:space="preserve">Table </w:t>
      </w:r>
      <w:r>
        <w:t>2</w:t>
      </w:r>
      <w:r w:rsidRPr="00E14292">
        <w:t xml:space="preserve"> – </w:t>
      </w:r>
      <w:r w:rsidR="00A56613">
        <w:t>Record of KPI Pass/Fail per Service</w:t>
      </w:r>
      <w:bookmarkEnd w:id="13"/>
    </w:p>
    <w:p w:rsidR="00A56613" w:rsidRDefault="00A56613" w:rsidP="00A56613">
      <w:r>
        <w:t>Table 2 records whether a KPI has passed or failed. Each cell in Table 2 looks to the appropriate cell in Table 1. If a number greater than zero appears in the relevant cell within Table 1, then a “Fail” marking is returned. If a zero appears in the relevant cell within Table 1, then a “Pass” marking is returned. The process continues from each period throughout the life of the contract.</w:t>
      </w:r>
    </w:p>
    <w:p w:rsidR="00D652C0" w:rsidRDefault="00013691" w:rsidP="00D652C0">
      <w:pPr>
        <w:jc w:val="center"/>
      </w:pPr>
      <w:r>
        <w:rPr>
          <w:noProof/>
          <w:lang w:eastAsia="en-GB"/>
        </w:rPr>
        <w:drawing>
          <wp:inline distT="0" distB="0" distL="0" distR="0" wp14:anchorId="1F2FF16E" wp14:editId="50B94F4D">
            <wp:extent cx="5908453" cy="6629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133" t="28417" r="5340" b="58288"/>
                    <a:stretch/>
                  </pic:blipFill>
                  <pic:spPr bwMode="auto">
                    <a:xfrm>
                      <a:off x="0" y="0"/>
                      <a:ext cx="5912381" cy="663381"/>
                    </a:xfrm>
                    <a:prstGeom prst="rect">
                      <a:avLst/>
                    </a:prstGeom>
                    <a:ln>
                      <a:noFill/>
                    </a:ln>
                    <a:extLst>
                      <a:ext uri="{53640926-AAD7-44D8-BBD7-CCE9431645EC}">
                        <a14:shadowObscured xmlns:a14="http://schemas.microsoft.com/office/drawing/2010/main"/>
                      </a:ext>
                    </a:extLst>
                  </pic:spPr>
                </pic:pic>
              </a:graphicData>
            </a:graphic>
          </wp:inline>
        </w:drawing>
      </w:r>
    </w:p>
    <w:p w:rsidR="00A56613" w:rsidRDefault="00A56613" w:rsidP="00B20593">
      <w:pPr>
        <w:pStyle w:val="Heading2"/>
      </w:pPr>
      <w:bookmarkStart w:id="14" w:name="_Toc4403453"/>
      <w:r w:rsidRPr="00E14292">
        <w:t xml:space="preserve">Table </w:t>
      </w:r>
      <w:r>
        <w:t>3</w:t>
      </w:r>
      <w:r w:rsidRPr="00E14292">
        <w:t xml:space="preserve"> –</w:t>
      </w:r>
      <w:r>
        <w:t xml:space="preserve"> Calculation of Failure over a 12 Month Period</w:t>
      </w:r>
      <w:r w:rsidR="00921233">
        <w:t>.</w:t>
      </w:r>
      <w:bookmarkEnd w:id="14"/>
    </w:p>
    <w:p w:rsidR="00921233" w:rsidRDefault="00921233" w:rsidP="00A56613">
      <w:r>
        <w:t>Table 3 looks at returning the actual figure to be deducted for each Monthly Period against each Service.</w:t>
      </w:r>
    </w:p>
    <w:p w:rsidR="005504C7" w:rsidRDefault="00013691" w:rsidP="00D652C0">
      <w:pPr>
        <w:jc w:val="center"/>
        <w:rPr>
          <w:noProof/>
          <w:lang w:eastAsia="en-GB"/>
        </w:rPr>
      </w:pPr>
      <w:r>
        <w:rPr>
          <w:noProof/>
          <w:lang w:eastAsia="en-GB"/>
        </w:rPr>
        <w:drawing>
          <wp:inline distT="0" distB="0" distL="0" distR="0" wp14:anchorId="148321D5" wp14:editId="2C4C689D">
            <wp:extent cx="5875638" cy="609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28749" r="5174" b="58953"/>
                    <a:stretch/>
                  </pic:blipFill>
                  <pic:spPr bwMode="auto">
                    <a:xfrm>
                      <a:off x="0" y="0"/>
                      <a:ext cx="5883758" cy="610442"/>
                    </a:xfrm>
                    <a:prstGeom prst="rect">
                      <a:avLst/>
                    </a:prstGeom>
                    <a:ln>
                      <a:noFill/>
                    </a:ln>
                    <a:extLst>
                      <a:ext uri="{53640926-AAD7-44D8-BBD7-CCE9431645EC}">
                        <a14:shadowObscured xmlns:a14="http://schemas.microsoft.com/office/drawing/2010/main"/>
                      </a:ext>
                    </a:extLst>
                  </pic:spPr>
                </pic:pic>
              </a:graphicData>
            </a:graphic>
          </wp:inline>
        </w:drawing>
      </w:r>
    </w:p>
    <w:p w:rsidR="00D652C0" w:rsidRDefault="00D652C0" w:rsidP="00D652C0">
      <w:pPr>
        <w:jc w:val="center"/>
      </w:pPr>
    </w:p>
    <w:p w:rsidR="00921233" w:rsidRDefault="00921233" w:rsidP="00B20593">
      <w:pPr>
        <w:pStyle w:val="Heading2"/>
      </w:pPr>
      <w:bookmarkStart w:id="15" w:name="_Toc4403454"/>
      <w:r w:rsidRPr="00E14292">
        <w:t xml:space="preserve">Table </w:t>
      </w:r>
      <w:r>
        <w:t>4</w:t>
      </w:r>
      <w:r w:rsidRPr="00E14292">
        <w:t xml:space="preserve"> –</w:t>
      </w:r>
      <w:r>
        <w:t xml:space="preserve"> Calculation of Consecutive Failure.</w:t>
      </w:r>
      <w:bookmarkEnd w:id="15"/>
    </w:p>
    <w:p w:rsidR="00A26640" w:rsidRDefault="00921233" w:rsidP="00A56613">
      <w:pPr>
        <w:rPr>
          <w:noProof/>
          <w:lang w:eastAsia="en-GB"/>
        </w:rPr>
      </w:pPr>
      <w:r>
        <w:t xml:space="preserve">Table 4 looks to understand the number of times a Service has failed either consecutively or over the course of a rolling 12 month period, applying the appropriate “ratchetted” deductible figure. This </w:t>
      </w:r>
      <w:r>
        <w:lastRenderedPageBreak/>
        <w:t>“loaded” amount is then added to the “standard” deduction to take account of the ratchet mechanism.</w:t>
      </w:r>
      <w:r w:rsidR="00A26640" w:rsidRPr="00A26640">
        <w:rPr>
          <w:noProof/>
          <w:lang w:eastAsia="en-GB"/>
        </w:rPr>
        <w:t xml:space="preserve"> </w:t>
      </w:r>
    </w:p>
    <w:p w:rsidR="00921233" w:rsidRDefault="00013691" w:rsidP="00A56613">
      <w:r>
        <w:rPr>
          <w:noProof/>
          <w:lang w:eastAsia="en-GB"/>
        </w:rPr>
        <w:drawing>
          <wp:inline distT="0" distB="0" distL="0" distR="0" wp14:anchorId="705EF7AD" wp14:editId="6BA5941F">
            <wp:extent cx="5726739" cy="59436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28584" r="5207" b="59119"/>
                    <a:stretch/>
                  </pic:blipFill>
                  <pic:spPr bwMode="auto">
                    <a:xfrm>
                      <a:off x="0" y="0"/>
                      <a:ext cx="5727206" cy="594408"/>
                    </a:xfrm>
                    <a:prstGeom prst="rect">
                      <a:avLst/>
                    </a:prstGeom>
                    <a:ln>
                      <a:noFill/>
                    </a:ln>
                    <a:extLst>
                      <a:ext uri="{53640926-AAD7-44D8-BBD7-CCE9431645EC}">
                        <a14:shadowObscured xmlns:a14="http://schemas.microsoft.com/office/drawing/2010/main"/>
                      </a:ext>
                    </a:extLst>
                  </pic:spPr>
                </pic:pic>
              </a:graphicData>
            </a:graphic>
          </wp:inline>
        </w:drawing>
      </w:r>
    </w:p>
    <w:p w:rsidR="00921233" w:rsidRDefault="00921233" w:rsidP="00B20593">
      <w:pPr>
        <w:pStyle w:val="Heading2"/>
      </w:pPr>
      <w:bookmarkStart w:id="16" w:name="_Toc4403455"/>
      <w:r w:rsidRPr="00E14292">
        <w:t xml:space="preserve">Table </w:t>
      </w:r>
      <w:r>
        <w:t>5</w:t>
      </w:r>
      <w:r w:rsidRPr="00E14292">
        <w:t xml:space="preserve"> –</w:t>
      </w:r>
      <w:r>
        <w:t xml:space="preserve"> </w:t>
      </w:r>
      <w:r w:rsidRPr="00921233">
        <w:t>Calculation of Deduction (uses highest figure from table 3 or table 4 above)</w:t>
      </w:r>
      <w:r>
        <w:t>.</w:t>
      </w:r>
      <w:bookmarkEnd w:id="16"/>
    </w:p>
    <w:p w:rsidR="00921233" w:rsidRDefault="00921233" w:rsidP="00A56613">
      <w:r>
        <w:t>Table 5 then looks to the appropriate corresponding cells for each Service in both Tables 3 and 4. Whatever is the greater number is populated into the corresponding cell for that service into Table 5.</w:t>
      </w:r>
    </w:p>
    <w:p w:rsidR="00BE5246" w:rsidRPr="00BE5246" w:rsidRDefault="00013691" w:rsidP="00BE5246">
      <w:r>
        <w:rPr>
          <w:noProof/>
          <w:lang w:eastAsia="en-GB"/>
        </w:rPr>
        <w:drawing>
          <wp:inline distT="0" distB="0" distL="0" distR="0" wp14:anchorId="0081523F" wp14:editId="27730EFC">
            <wp:extent cx="5707281" cy="617220"/>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28251" r="5340" b="58953"/>
                    <a:stretch/>
                  </pic:blipFill>
                  <pic:spPr bwMode="auto">
                    <a:xfrm>
                      <a:off x="0" y="0"/>
                      <a:ext cx="5709522" cy="617462"/>
                    </a:xfrm>
                    <a:prstGeom prst="rect">
                      <a:avLst/>
                    </a:prstGeom>
                    <a:ln>
                      <a:noFill/>
                    </a:ln>
                    <a:extLst>
                      <a:ext uri="{53640926-AAD7-44D8-BBD7-CCE9431645EC}">
                        <a14:shadowObscured xmlns:a14="http://schemas.microsoft.com/office/drawing/2010/main"/>
                      </a:ext>
                    </a:extLst>
                  </pic:spPr>
                </pic:pic>
              </a:graphicData>
            </a:graphic>
          </wp:inline>
        </w:drawing>
      </w:r>
    </w:p>
    <w:p w:rsidR="00921233" w:rsidRDefault="00921233" w:rsidP="00B20593">
      <w:pPr>
        <w:pStyle w:val="Heading2"/>
      </w:pPr>
      <w:bookmarkStart w:id="17" w:name="_Toc4403456"/>
      <w:r w:rsidRPr="00E14292">
        <w:t xml:space="preserve">Table </w:t>
      </w:r>
      <w:r>
        <w:t>6</w:t>
      </w:r>
      <w:r w:rsidRPr="00E14292">
        <w:t xml:space="preserve"> –</w:t>
      </w:r>
      <w:r>
        <w:t xml:space="preserve"> </w:t>
      </w:r>
      <w:r w:rsidR="00005D10" w:rsidRPr="00005D10">
        <w:t>Monthly Total Value at Risk Cap</w:t>
      </w:r>
      <w:bookmarkEnd w:id="17"/>
    </w:p>
    <w:p w:rsidR="000177FC" w:rsidRDefault="00005D10" w:rsidP="00A56613">
      <w:r>
        <w:t>Table 6 draws the calculated Total Sum at Risk (capped at 6%</w:t>
      </w:r>
      <w:r w:rsidR="00C90F9E">
        <w:t xml:space="preserve"> - or under</w:t>
      </w:r>
      <w:r>
        <w:t xml:space="preserve">) from the appropriate cell within the “Paymech Calc Overview” tab. The </w:t>
      </w:r>
      <w:r w:rsidR="00C90F9E">
        <w:t xml:space="preserve">“Monthly </w:t>
      </w:r>
      <w:r>
        <w:t xml:space="preserve">Total </w:t>
      </w:r>
      <w:r w:rsidR="00C90F9E">
        <w:t>Value</w:t>
      </w:r>
      <w:r>
        <w:t xml:space="preserve"> at Risk</w:t>
      </w:r>
      <w:r w:rsidR="00C90F9E">
        <w:t>”</w:t>
      </w:r>
      <w:r>
        <w:t xml:space="preserve"> figure has been worked out by the information/data input to the “Paymech Calc </w:t>
      </w:r>
      <w:r w:rsidR="00C90F9E">
        <w:t>Overview</w:t>
      </w:r>
      <w:r>
        <w:t xml:space="preserve">” tab. The “Total Deductions” line under Table 6 then looks to see if the total deductions recorded in Table 5 exceed the </w:t>
      </w:r>
      <w:r w:rsidR="00C90F9E">
        <w:t xml:space="preserve">“Monthly </w:t>
      </w:r>
      <w:r>
        <w:t xml:space="preserve">Total </w:t>
      </w:r>
      <w:r w:rsidR="00C90F9E">
        <w:t>Value</w:t>
      </w:r>
      <w:r>
        <w:t xml:space="preserve"> at Risk. If it does, then the </w:t>
      </w:r>
      <w:r w:rsidR="00C90F9E">
        <w:t xml:space="preserve">“Monthly </w:t>
      </w:r>
      <w:r>
        <w:t xml:space="preserve">Total </w:t>
      </w:r>
      <w:r w:rsidR="00C90F9E">
        <w:t>Value</w:t>
      </w:r>
      <w:r>
        <w:t xml:space="preserve"> at Risk</w:t>
      </w:r>
      <w:r w:rsidR="00C90F9E">
        <w:t>”</w:t>
      </w:r>
      <w:r>
        <w:t xml:space="preserve"> is carried into the “Paymech Calc Overview” tab and deducted from the </w:t>
      </w:r>
      <w:r w:rsidR="00C90F9E">
        <w:t>“</w:t>
      </w:r>
      <w:r>
        <w:t>Monthly Payment</w:t>
      </w:r>
      <w:r w:rsidR="00A762D3">
        <w:t>”</w:t>
      </w:r>
      <w:r>
        <w:t xml:space="preserve"> figure. If it does not exceed the </w:t>
      </w:r>
      <w:r w:rsidR="00A762D3">
        <w:t xml:space="preserve">“Total </w:t>
      </w:r>
      <w:r>
        <w:t xml:space="preserve">Monthly </w:t>
      </w:r>
      <w:r w:rsidR="00A762D3">
        <w:t>Value</w:t>
      </w:r>
      <w:r>
        <w:t xml:space="preserve"> at Risk</w:t>
      </w:r>
      <w:r w:rsidR="00A762D3">
        <w:t>”</w:t>
      </w:r>
      <w:r>
        <w:t xml:space="preserve">, this lower figure is carried across instead, with the associated deduction then being made from the </w:t>
      </w:r>
      <w:r w:rsidR="00A762D3">
        <w:t>“</w:t>
      </w:r>
      <w:r>
        <w:t>Monthly Payment</w:t>
      </w:r>
      <w:r w:rsidR="00A762D3">
        <w:t>”</w:t>
      </w:r>
      <w:r>
        <w:t xml:space="preserve"> figure.</w:t>
      </w:r>
    </w:p>
    <w:p w:rsidR="00D652C0" w:rsidRDefault="00013691" w:rsidP="00D652C0">
      <w:pPr>
        <w:jc w:val="center"/>
      </w:pPr>
      <w:r>
        <w:rPr>
          <w:noProof/>
          <w:lang w:eastAsia="en-GB"/>
        </w:rPr>
        <w:drawing>
          <wp:inline distT="0" distB="0" distL="0" distR="0" wp14:anchorId="28F04EDC" wp14:editId="4B9D87AE">
            <wp:extent cx="5433060" cy="5791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33" t="28417" r="5340" b="58953"/>
                    <a:stretch/>
                  </pic:blipFill>
                  <pic:spPr bwMode="auto">
                    <a:xfrm>
                      <a:off x="0" y="0"/>
                      <a:ext cx="5433060" cy="579120"/>
                    </a:xfrm>
                    <a:prstGeom prst="rect">
                      <a:avLst/>
                    </a:prstGeom>
                    <a:ln>
                      <a:noFill/>
                    </a:ln>
                    <a:extLst>
                      <a:ext uri="{53640926-AAD7-44D8-BBD7-CCE9431645EC}">
                        <a14:shadowObscured xmlns:a14="http://schemas.microsoft.com/office/drawing/2010/main"/>
                      </a:ext>
                    </a:extLst>
                  </pic:spPr>
                </pic:pic>
              </a:graphicData>
            </a:graphic>
          </wp:inline>
        </w:drawing>
      </w:r>
    </w:p>
    <w:p w:rsidR="00495B6A" w:rsidRPr="00B20593" w:rsidRDefault="00495B6A" w:rsidP="00495B6A">
      <w:pPr>
        <w:pStyle w:val="Heading1"/>
        <w:rPr>
          <w:sz w:val="28"/>
          <w:szCs w:val="28"/>
        </w:rPr>
      </w:pPr>
      <w:bookmarkStart w:id="18" w:name="_Toc4403457"/>
      <w:r w:rsidRPr="00B20593">
        <w:rPr>
          <w:sz w:val="28"/>
          <w:szCs w:val="28"/>
        </w:rPr>
        <w:t>Perf</w:t>
      </w:r>
      <w:r>
        <w:rPr>
          <w:sz w:val="28"/>
          <w:szCs w:val="28"/>
        </w:rPr>
        <w:t xml:space="preserve"> Earnback_Retention Calc</w:t>
      </w:r>
      <w:r w:rsidRPr="00B20593">
        <w:rPr>
          <w:sz w:val="28"/>
          <w:szCs w:val="28"/>
        </w:rPr>
        <w:t xml:space="preserve"> worksheet</w:t>
      </w:r>
      <w:bookmarkEnd w:id="18"/>
    </w:p>
    <w:p w:rsidR="0086150C" w:rsidRDefault="0086150C" w:rsidP="00495B6A">
      <w:r>
        <w:t xml:space="preserve">Under certain conditions, the Supplier will be able to “Earnback” a percentage of the previous </w:t>
      </w:r>
      <w:r w:rsidR="00B801D7">
        <w:t>month’s</w:t>
      </w:r>
      <w:r>
        <w:t xml:space="preserve"> deduction for each KPI Category, categories being “</w:t>
      </w:r>
      <w:r w:rsidR="001D4A28">
        <w:t>Security Services</w:t>
      </w:r>
      <w:r>
        <w:t>” through to “</w:t>
      </w:r>
      <w:r w:rsidR="001D4A28">
        <w:t>Social Values</w:t>
      </w:r>
      <w:r>
        <w:t>”</w:t>
      </w:r>
      <w:r w:rsidR="00300144">
        <w:t xml:space="preserve"> as shown in the Table below in Column “A”.</w:t>
      </w:r>
    </w:p>
    <w:p w:rsidR="00A26640" w:rsidRDefault="00013691" w:rsidP="0086150C">
      <w:pPr>
        <w:jc w:val="center"/>
        <w:rPr>
          <w:noProof/>
          <w:lang w:eastAsia="en-GB"/>
        </w:rPr>
      </w:pPr>
      <w:r>
        <w:rPr>
          <w:noProof/>
          <w:lang w:eastAsia="en-GB"/>
        </w:rPr>
        <w:drawing>
          <wp:inline distT="0" distB="0" distL="0" distR="0" wp14:anchorId="52E8C484" wp14:editId="1140C7FB">
            <wp:extent cx="4884420" cy="10439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28750" r="14779" b="48483"/>
                    <a:stretch/>
                  </pic:blipFill>
                  <pic:spPr bwMode="auto">
                    <a:xfrm>
                      <a:off x="0" y="0"/>
                      <a:ext cx="4884420" cy="1043940"/>
                    </a:xfrm>
                    <a:prstGeom prst="rect">
                      <a:avLst/>
                    </a:prstGeom>
                    <a:ln>
                      <a:noFill/>
                    </a:ln>
                    <a:extLst>
                      <a:ext uri="{53640926-AAD7-44D8-BBD7-CCE9431645EC}">
                        <a14:shadowObscured xmlns:a14="http://schemas.microsoft.com/office/drawing/2010/main"/>
                      </a:ext>
                    </a:extLst>
                  </pic:spPr>
                </pic:pic>
              </a:graphicData>
            </a:graphic>
          </wp:inline>
        </w:drawing>
      </w:r>
    </w:p>
    <w:p w:rsidR="0086150C" w:rsidRDefault="0086150C" w:rsidP="00495B6A">
      <w:r>
        <w:t>“Earnback” works as follows. The above table will be automatically populated with the appropriate deductions for each monthly period when Table 1 is populated each month</w:t>
      </w:r>
      <w:r w:rsidR="00FB529D">
        <w:t xml:space="preserve"> </w:t>
      </w:r>
      <w:r>
        <w:t>within the “Performance Deduction Calc” tab. Sim</w:t>
      </w:r>
      <w:r w:rsidR="00FB529D">
        <w:t>i</w:t>
      </w:r>
      <w:r>
        <w:t>larly</w:t>
      </w:r>
      <w:r w:rsidR="00FB529D">
        <w:t xml:space="preserve">, </w:t>
      </w:r>
      <w:r>
        <w:t xml:space="preserve">cell A6 will be automatically populated when cell C8 within the “Pay Mech Calc Overview” tab is completed. </w:t>
      </w:r>
      <w:r w:rsidR="00FB529D">
        <w:t>This will inform the table which monthly period is relevant for the “Earnback” calculation. For this example, monthly period “2” is used.</w:t>
      </w:r>
    </w:p>
    <w:p w:rsidR="00FB529D" w:rsidRDefault="00FB529D" w:rsidP="00495B6A">
      <w:r>
        <w:t>The “Earnback” in this example is set at 50%. This 50% is the default setting</w:t>
      </w:r>
      <w:r w:rsidR="00300144">
        <w:t>, however</w:t>
      </w:r>
      <w:r>
        <w:t xml:space="preserve"> any percentage may be applied and will be set at the discretion of the Buyer. The percentage is applied </w:t>
      </w:r>
      <w:r>
        <w:lastRenderedPageBreak/>
        <w:t xml:space="preserve">as follows. Monthly period “1” in the above table column “B” displays the financial level to which each KPI Category failed in this period. Against these figures, </w:t>
      </w:r>
      <w:r w:rsidR="00300144">
        <w:t>m</w:t>
      </w:r>
      <w:r>
        <w:t xml:space="preserve">onthly period “2” in column “C” also displays the financial level to which each KPI Category failed in this period. In </w:t>
      </w:r>
      <w:r w:rsidR="00300144">
        <w:t>m</w:t>
      </w:r>
      <w:r>
        <w:t xml:space="preserve">onthly </w:t>
      </w:r>
      <w:r w:rsidR="00300144">
        <w:t>p</w:t>
      </w:r>
      <w:r w:rsidR="00BE5246">
        <w:t>eriod “2”, “</w:t>
      </w:r>
      <w:r w:rsidR="00B801D7">
        <w:t xml:space="preserve">Maintenance </w:t>
      </w:r>
      <w:r w:rsidR="001D4A28">
        <w:t>Services</w:t>
      </w:r>
      <w:r w:rsidR="00B801D7">
        <w:t xml:space="preserve"> (Technical Security)</w:t>
      </w:r>
      <w:r w:rsidR="00BE5246">
        <w:t>”</w:t>
      </w:r>
      <w:r w:rsidR="001C50A4">
        <w:t>, and “</w:t>
      </w:r>
      <w:r w:rsidR="001D4A28">
        <w:t>General Standards</w:t>
      </w:r>
      <w:r w:rsidR="001C50A4">
        <w:t>”</w:t>
      </w:r>
      <w:r w:rsidR="004A5BBF">
        <w:t xml:space="preserve"> incurred no financial deduction. On this basis, a 50% rebate is made based on the financial deduction </w:t>
      </w:r>
      <w:r w:rsidR="00300144">
        <w:t>applied</w:t>
      </w:r>
      <w:r w:rsidR="004A5BBF">
        <w:t xml:space="preserve"> against each like KPI Category in </w:t>
      </w:r>
      <w:r w:rsidR="00300144">
        <w:t>m</w:t>
      </w:r>
      <w:r w:rsidR="004A5BBF">
        <w:t xml:space="preserve">onthly </w:t>
      </w:r>
      <w:r w:rsidR="00300144">
        <w:t>p</w:t>
      </w:r>
      <w:r w:rsidR="004A5BBF">
        <w:t xml:space="preserve">eriod “1”. As illustrated in the </w:t>
      </w:r>
      <w:r w:rsidR="00300144">
        <w:t>t</w:t>
      </w:r>
      <w:r w:rsidR="004A5BBF">
        <w:t>able below, “</w:t>
      </w:r>
      <w:r w:rsidR="00B801D7">
        <w:t>Maintenance Services (Technical Security)</w:t>
      </w:r>
      <w:r w:rsidR="004A5BBF">
        <w:t>” receives a rebate of £</w:t>
      </w:r>
      <w:r w:rsidR="001C50A4">
        <w:t>2</w:t>
      </w:r>
      <w:r w:rsidR="004A5BBF">
        <w:t>50.00</w:t>
      </w:r>
      <w:r w:rsidR="001D4A28">
        <w:t xml:space="preserve"> </w:t>
      </w:r>
      <w:r w:rsidR="001C50A4">
        <w:t>and “</w:t>
      </w:r>
      <w:r w:rsidR="001D4A28">
        <w:t>General Standards</w:t>
      </w:r>
      <w:r w:rsidR="001C50A4">
        <w:t>” receives £</w:t>
      </w:r>
      <w:r w:rsidR="001D4A28">
        <w:t>100</w:t>
      </w:r>
      <w:r w:rsidR="001C50A4">
        <w:t>.00</w:t>
      </w:r>
      <w:r w:rsidR="004A5BBF">
        <w:t xml:space="preserve">. This gives a total rebate for </w:t>
      </w:r>
      <w:r w:rsidR="00300144">
        <w:t>m</w:t>
      </w:r>
      <w:r w:rsidR="004A5BBF">
        <w:t xml:space="preserve">onthly </w:t>
      </w:r>
      <w:r w:rsidR="00300144">
        <w:t>p</w:t>
      </w:r>
      <w:r w:rsidR="004A5BBF">
        <w:t>eriod 2 of £</w:t>
      </w:r>
      <w:r w:rsidR="001C50A4">
        <w:t>3</w:t>
      </w:r>
      <w:r w:rsidR="001D4A28">
        <w:t>50</w:t>
      </w:r>
      <w:r w:rsidR="004A5BBF">
        <w:t xml:space="preserve">.00, this figure </w:t>
      </w:r>
      <w:r w:rsidR="00300144">
        <w:t xml:space="preserve">is </w:t>
      </w:r>
      <w:r w:rsidR="004A5BBF">
        <w:t>displayed in cell BK1</w:t>
      </w:r>
      <w:r w:rsidR="00B801D7">
        <w:t>2</w:t>
      </w:r>
      <w:r w:rsidR="004A5BBF">
        <w:t>.</w:t>
      </w:r>
    </w:p>
    <w:p w:rsidR="004A5BBF" w:rsidRDefault="00013691" w:rsidP="004A5BBF">
      <w:pPr>
        <w:jc w:val="center"/>
      </w:pPr>
      <w:r>
        <w:rPr>
          <w:noProof/>
          <w:lang w:eastAsia="en-GB"/>
        </w:rPr>
        <w:drawing>
          <wp:inline distT="0" distB="0" distL="0" distR="0" wp14:anchorId="27A24E75" wp14:editId="0E5DD0FF">
            <wp:extent cx="4676614" cy="1295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t="28417" r="43363" b="51973"/>
                    <a:stretch/>
                  </pic:blipFill>
                  <pic:spPr bwMode="auto">
                    <a:xfrm>
                      <a:off x="0" y="0"/>
                      <a:ext cx="4688648" cy="1298733"/>
                    </a:xfrm>
                    <a:prstGeom prst="rect">
                      <a:avLst/>
                    </a:prstGeom>
                    <a:ln>
                      <a:noFill/>
                    </a:ln>
                    <a:extLst>
                      <a:ext uri="{53640926-AAD7-44D8-BBD7-CCE9431645EC}">
                        <a14:shadowObscured xmlns:a14="http://schemas.microsoft.com/office/drawing/2010/main"/>
                      </a:ext>
                    </a:extLst>
                  </pic:spPr>
                </pic:pic>
              </a:graphicData>
            </a:graphic>
          </wp:inline>
        </w:drawing>
      </w:r>
    </w:p>
    <w:p w:rsidR="004A5BBF" w:rsidRDefault="00495B6A" w:rsidP="00495B6A">
      <w:r>
        <w:t>Th</w:t>
      </w:r>
      <w:r w:rsidR="004A5BBF">
        <w:t>e sum of £</w:t>
      </w:r>
      <w:r w:rsidR="001C50A4">
        <w:t>3</w:t>
      </w:r>
      <w:r w:rsidR="001D4A28">
        <w:t>50</w:t>
      </w:r>
      <w:r w:rsidR="004A5BBF">
        <w:t xml:space="preserve"> is subsequently taken off of the “</w:t>
      </w:r>
      <w:r w:rsidR="001C50A4">
        <w:t xml:space="preserve">Calculation of </w:t>
      </w:r>
      <w:r w:rsidR="004A5BBF">
        <w:t>Monthly Performance Adjustment</w:t>
      </w:r>
      <w:r w:rsidR="001C50A4">
        <w:t xml:space="preserve"> and Earnback for Previous Month</w:t>
      </w:r>
      <w:r w:rsidR="004A5BBF">
        <w:t>” amount calculated and displayed within the “Pay Mech Calc Overview” tab.</w:t>
      </w:r>
    </w:p>
    <w:p w:rsidR="00495B6A" w:rsidRDefault="00495B6A" w:rsidP="00D652C0">
      <w:pPr>
        <w:jc w:val="center"/>
      </w:pPr>
    </w:p>
    <w:sectPr w:rsidR="00495B6A">
      <w:headerReference w:type="default" r:id="rId26"/>
      <w:footerReference w:type="default" r:id="rId2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5057" w:rsidRDefault="00FE5057" w:rsidP="004C7C40">
      <w:pPr>
        <w:spacing w:after="0" w:line="240" w:lineRule="auto"/>
      </w:pPr>
      <w:r>
        <w:separator/>
      </w:r>
    </w:p>
  </w:endnote>
  <w:endnote w:type="continuationSeparator" w:id="0">
    <w:p w:rsidR="00FE5057" w:rsidRDefault="00FE5057" w:rsidP="004C7C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FandG Display Bank Gothic">
    <w:altName w:val="Century"/>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Arial Bold">
    <w:panose1 w:val="020B0704020202020204"/>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99574804"/>
      <w:docPartObj>
        <w:docPartGallery w:val="Page Numbers (Bottom of Page)"/>
        <w:docPartUnique/>
      </w:docPartObj>
    </w:sdtPr>
    <w:sdtEndPr>
      <w:rPr>
        <w:noProof/>
      </w:rPr>
    </w:sdtEndPr>
    <w:sdtContent>
      <w:p w:rsidR="000F3245" w:rsidRDefault="000F3245">
        <w:pPr>
          <w:pStyle w:val="Footer"/>
          <w:jc w:val="center"/>
        </w:pPr>
        <w:r>
          <w:fldChar w:fldCharType="begin"/>
        </w:r>
        <w:r>
          <w:instrText xml:space="preserve"> PAGE   \* MERGEFORMAT </w:instrText>
        </w:r>
        <w:r>
          <w:fldChar w:fldCharType="separate"/>
        </w:r>
        <w:r w:rsidR="00B801D7">
          <w:rPr>
            <w:noProof/>
          </w:rPr>
          <w:t>8</w:t>
        </w:r>
        <w:r>
          <w:rPr>
            <w:noProof/>
          </w:rPr>
          <w:fldChar w:fldCharType="end"/>
        </w:r>
      </w:p>
    </w:sdtContent>
  </w:sdt>
  <w:p w:rsidR="004C7C40" w:rsidRPr="006F5AAD" w:rsidRDefault="006F5AAD" w:rsidP="000F3245">
    <w:pPr>
      <w:pStyle w:val="Footer"/>
      <w:rPr>
        <w:sz w:val="18"/>
        <w:szCs w:val="18"/>
      </w:rPr>
    </w:pPr>
    <w:r>
      <w:tab/>
    </w:r>
    <w:r>
      <w:tab/>
    </w:r>
    <w:r w:rsidRPr="006F5AAD">
      <w:rPr>
        <w:sz w:val="18"/>
        <w:szCs w:val="18"/>
      </w:rPr>
      <w:t xml:space="preserve">v1.0 - </w:t>
    </w:r>
    <w:r w:rsidR="00216E3F">
      <w:rPr>
        <w:sz w:val="18"/>
        <w:szCs w:val="18"/>
      </w:rPr>
      <w:t>25</w:t>
    </w:r>
    <w:r w:rsidRPr="006F5AAD">
      <w:rPr>
        <w:sz w:val="18"/>
        <w:szCs w:val="18"/>
      </w:rPr>
      <w:t>.0</w:t>
    </w:r>
    <w:r w:rsidR="00216E3F">
      <w:rPr>
        <w:sz w:val="18"/>
        <w:szCs w:val="18"/>
      </w:rPr>
      <w:t>3</w:t>
    </w:r>
    <w:r w:rsidRPr="006F5AAD">
      <w:rPr>
        <w:sz w:val="18"/>
        <w:szCs w:val="18"/>
      </w:rPr>
      <w:t>.19</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5057" w:rsidRDefault="00FE5057" w:rsidP="004C7C40">
      <w:pPr>
        <w:spacing w:after="0" w:line="240" w:lineRule="auto"/>
      </w:pPr>
      <w:r>
        <w:separator/>
      </w:r>
    </w:p>
  </w:footnote>
  <w:footnote w:type="continuationSeparator" w:id="0">
    <w:p w:rsidR="00FE5057" w:rsidRDefault="00FE5057" w:rsidP="004C7C4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C7C40" w:rsidRDefault="004C7C40" w:rsidP="000F3245">
    <w:pPr>
      <w:pStyle w:val="Header"/>
      <w:jc w:val="center"/>
    </w:pPr>
    <w:r>
      <w:t>Payment Mechanism Model – Guidance for Completion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0D7D76"/>
    <w:multiLevelType w:val="hybridMultilevel"/>
    <w:tmpl w:val="4B485B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989520C"/>
    <w:multiLevelType w:val="hybridMultilevel"/>
    <w:tmpl w:val="12A811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BE8513F"/>
    <w:multiLevelType w:val="hybridMultilevel"/>
    <w:tmpl w:val="B0D46484"/>
    <w:lvl w:ilvl="0" w:tplc="08090001">
      <w:start w:val="1"/>
      <w:numFmt w:val="bullet"/>
      <w:lvlText w:val=""/>
      <w:lvlJc w:val="left"/>
      <w:pPr>
        <w:ind w:left="720" w:hanging="360"/>
      </w:pPr>
      <w:rPr>
        <w:rFonts w:ascii="Symbol" w:hAnsi="Symbol" w:hint="default"/>
      </w:rPr>
    </w:lvl>
    <w:lvl w:ilvl="1" w:tplc="9C1C4A6A">
      <w:numFmt w:val="bullet"/>
      <w:lvlText w:val="•"/>
      <w:lvlJc w:val="left"/>
      <w:pPr>
        <w:ind w:left="1800" w:hanging="720"/>
      </w:pPr>
      <w:rPr>
        <w:rFonts w:ascii="Calibri" w:eastAsiaTheme="minorHAnsi" w:hAnsi="Calibri"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653"/>
    <w:rsid w:val="00005D10"/>
    <w:rsid w:val="00013691"/>
    <w:rsid w:val="000163CB"/>
    <w:rsid w:val="0001742C"/>
    <w:rsid w:val="000177FC"/>
    <w:rsid w:val="000264BA"/>
    <w:rsid w:val="000361F3"/>
    <w:rsid w:val="000808DC"/>
    <w:rsid w:val="000A2BD3"/>
    <w:rsid w:val="000D62C8"/>
    <w:rsid w:val="000F269E"/>
    <w:rsid w:val="000F3245"/>
    <w:rsid w:val="0011160B"/>
    <w:rsid w:val="00121B73"/>
    <w:rsid w:val="00130548"/>
    <w:rsid w:val="00153691"/>
    <w:rsid w:val="00182249"/>
    <w:rsid w:val="0019524D"/>
    <w:rsid w:val="001C50A4"/>
    <w:rsid w:val="001D4A28"/>
    <w:rsid w:val="00216E3F"/>
    <w:rsid w:val="002A404E"/>
    <w:rsid w:val="002B6538"/>
    <w:rsid w:val="00300144"/>
    <w:rsid w:val="003258CA"/>
    <w:rsid w:val="00334BCC"/>
    <w:rsid w:val="003832A2"/>
    <w:rsid w:val="003D50BA"/>
    <w:rsid w:val="003E10D4"/>
    <w:rsid w:val="003E3DEC"/>
    <w:rsid w:val="004166E6"/>
    <w:rsid w:val="00441313"/>
    <w:rsid w:val="00444A72"/>
    <w:rsid w:val="004717F0"/>
    <w:rsid w:val="00495B6A"/>
    <w:rsid w:val="004A5BBF"/>
    <w:rsid w:val="004C7C40"/>
    <w:rsid w:val="004D6EBA"/>
    <w:rsid w:val="005018B0"/>
    <w:rsid w:val="00506AB4"/>
    <w:rsid w:val="005239CE"/>
    <w:rsid w:val="005504C7"/>
    <w:rsid w:val="0058344E"/>
    <w:rsid w:val="005A3A70"/>
    <w:rsid w:val="005D1BF3"/>
    <w:rsid w:val="005E7226"/>
    <w:rsid w:val="0060226E"/>
    <w:rsid w:val="00603452"/>
    <w:rsid w:val="00605975"/>
    <w:rsid w:val="00634F2C"/>
    <w:rsid w:val="00666066"/>
    <w:rsid w:val="00685247"/>
    <w:rsid w:val="006F5AAD"/>
    <w:rsid w:val="00721AE5"/>
    <w:rsid w:val="007236CB"/>
    <w:rsid w:val="0073400D"/>
    <w:rsid w:val="00766A2F"/>
    <w:rsid w:val="007A01D9"/>
    <w:rsid w:val="007C6754"/>
    <w:rsid w:val="007E778F"/>
    <w:rsid w:val="00850A18"/>
    <w:rsid w:val="008529D6"/>
    <w:rsid w:val="00857174"/>
    <w:rsid w:val="008600FE"/>
    <w:rsid w:val="0086150C"/>
    <w:rsid w:val="00867ADE"/>
    <w:rsid w:val="00897A57"/>
    <w:rsid w:val="008E7D0B"/>
    <w:rsid w:val="0090209F"/>
    <w:rsid w:val="00921233"/>
    <w:rsid w:val="00926BFE"/>
    <w:rsid w:val="009312AC"/>
    <w:rsid w:val="00944C71"/>
    <w:rsid w:val="00953B69"/>
    <w:rsid w:val="009753D3"/>
    <w:rsid w:val="00980429"/>
    <w:rsid w:val="00992210"/>
    <w:rsid w:val="009B2F65"/>
    <w:rsid w:val="009F1EFC"/>
    <w:rsid w:val="00A20F1B"/>
    <w:rsid w:val="00A21174"/>
    <w:rsid w:val="00A26640"/>
    <w:rsid w:val="00A56613"/>
    <w:rsid w:val="00A63CA0"/>
    <w:rsid w:val="00A762D3"/>
    <w:rsid w:val="00AE1F69"/>
    <w:rsid w:val="00B143AD"/>
    <w:rsid w:val="00B20593"/>
    <w:rsid w:val="00B20ABF"/>
    <w:rsid w:val="00B801D7"/>
    <w:rsid w:val="00B9436F"/>
    <w:rsid w:val="00BE5246"/>
    <w:rsid w:val="00C12653"/>
    <w:rsid w:val="00C1723C"/>
    <w:rsid w:val="00C363C6"/>
    <w:rsid w:val="00C90F9E"/>
    <w:rsid w:val="00CF14BE"/>
    <w:rsid w:val="00D05AB5"/>
    <w:rsid w:val="00D16132"/>
    <w:rsid w:val="00D1630A"/>
    <w:rsid w:val="00D16FA0"/>
    <w:rsid w:val="00D20196"/>
    <w:rsid w:val="00D36689"/>
    <w:rsid w:val="00D652C0"/>
    <w:rsid w:val="00D70B20"/>
    <w:rsid w:val="00D9261C"/>
    <w:rsid w:val="00DA5241"/>
    <w:rsid w:val="00DE055E"/>
    <w:rsid w:val="00E14292"/>
    <w:rsid w:val="00E36883"/>
    <w:rsid w:val="00E447EA"/>
    <w:rsid w:val="00E57B4F"/>
    <w:rsid w:val="00E60F55"/>
    <w:rsid w:val="00E62CC4"/>
    <w:rsid w:val="00E6620F"/>
    <w:rsid w:val="00E82721"/>
    <w:rsid w:val="00E928F6"/>
    <w:rsid w:val="00EF2FB0"/>
    <w:rsid w:val="00EF5598"/>
    <w:rsid w:val="00F31980"/>
    <w:rsid w:val="00F558DA"/>
    <w:rsid w:val="00F62575"/>
    <w:rsid w:val="00F75AA4"/>
    <w:rsid w:val="00FA08D0"/>
    <w:rsid w:val="00FB529D"/>
    <w:rsid w:val="00FD117B"/>
    <w:rsid w:val="00FE505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09DF03C-AF48-4400-9589-F5F3CE20BD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5D1BF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5D1BF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B2059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F1EFC"/>
    <w:pPr>
      <w:ind w:left="720"/>
      <w:contextualSpacing/>
    </w:pPr>
  </w:style>
  <w:style w:type="paragraph" w:customStyle="1" w:styleId="Clientname">
    <w:name w:val="Client name"/>
    <w:semiHidden/>
    <w:qFormat/>
    <w:rsid w:val="00153691"/>
    <w:pPr>
      <w:spacing w:after="200" w:line="240" w:lineRule="atLeast"/>
      <w:jc w:val="right"/>
    </w:pPr>
    <w:rPr>
      <w:rFonts w:ascii="FandG Display Bank Gothic" w:eastAsia="Times New Roman" w:hAnsi="FandG Display Bank Gothic" w:cs="Times New Roman"/>
      <w:bCs/>
      <w:caps/>
      <w:color w:val="004494"/>
      <w:sz w:val="28"/>
      <w:szCs w:val="28"/>
    </w:rPr>
  </w:style>
  <w:style w:type="paragraph" w:customStyle="1" w:styleId="DocumentTitle">
    <w:name w:val="Document Title"/>
    <w:semiHidden/>
    <w:qFormat/>
    <w:rsid w:val="00153691"/>
    <w:pPr>
      <w:spacing w:after="200" w:line="276" w:lineRule="auto"/>
      <w:jc w:val="right"/>
    </w:pPr>
    <w:rPr>
      <w:rFonts w:ascii="Arial" w:eastAsia="Times New Roman" w:hAnsi="Arial" w:cs="Times New Roman"/>
      <w:bCs/>
      <w:sz w:val="24"/>
      <w:szCs w:val="28"/>
    </w:rPr>
  </w:style>
  <w:style w:type="paragraph" w:customStyle="1" w:styleId="Documentdate">
    <w:name w:val="Document date"/>
    <w:basedOn w:val="DocumentTitle"/>
    <w:semiHidden/>
    <w:qFormat/>
    <w:rsid w:val="00153691"/>
    <w:rPr>
      <w:sz w:val="20"/>
    </w:rPr>
  </w:style>
  <w:style w:type="paragraph" w:customStyle="1" w:styleId="ProjectTitle">
    <w:name w:val="Project Title"/>
    <w:basedOn w:val="Documentdate"/>
    <w:semiHidden/>
    <w:rsid w:val="00153691"/>
    <w:rPr>
      <w:sz w:val="24"/>
    </w:rPr>
  </w:style>
  <w:style w:type="character" w:customStyle="1" w:styleId="Heading2Char">
    <w:name w:val="Heading 2 Char"/>
    <w:basedOn w:val="DefaultParagraphFont"/>
    <w:link w:val="Heading2"/>
    <w:uiPriority w:val="9"/>
    <w:rsid w:val="005D1BF3"/>
    <w:rPr>
      <w:rFonts w:asciiTheme="majorHAnsi" w:eastAsiaTheme="majorEastAsia" w:hAnsiTheme="majorHAnsi" w:cstheme="majorBidi"/>
      <w:color w:val="2E74B5" w:themeColor="accent1" w:themeShade="BF"/>
      <w:sz w:val="26"/>
      <w:szCs w:val="26"/>
    </w:rPr>
  </w:style>
  <w:style w:type="character" w:customStyle="1" w:styleId="Heading1Char">
    <w:name w:val="Heading 1 Char"/>
    <w:basedOn w:val="DefaultParagraphFont"/>
    <w:link w:val="Heading1"/>
    <w:uiPriority w:val="9"/>
    <w:rsid w:val="005D1BF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5D1BF3"/>
    <w:pPr>
      <w:outlineLvl w:val="9"/>
    </w:pPr>
    <w:rPr>
      <w:lang w:val="en-US"/>
    </w:rPr>
  </w:style>
  <w:style w:type="paragraph" w:styleId="TOC2">
    <w:name w:val="toc 2"/>
    <w:basedOn w:val="Normal"/>
    <w:next w:val="Normal"/>
    <w:autoRedefine/>
    <w:uiPriority w:val="39"/>
    <w:unhideWhenUsed/>
    <w:rsid w:val="005D1BF3"/>
    <w:pPr>
      <w:spacing w:after="100"/>
      <w:ind w:left="220"/>
    </w:pPr>
  </w:style>
  <w:style w:type="character" w:styleId="Hyperlink">
    <w:name w:val="Hyperlink"/>
    <w:basedOn w:val="DefaultParagraphFont"/>
    <w:uiPriority w:val="99"/>
    <w:unhideWhenUsed/>
    <w:rsid w:val="005D1BF3"/>
    <w:rPr>
      <w:color w:val="0563C1" w:themeColor="hyperlink"/>
      <w:u w:val="single"/>
    </w:rPr>
  </w:style>
  <w:style w:type="paragraph" w:styleId="BalloonText">
    <w:name w:val="Balloon Text"/>
    <w:basedOn w:val="Normal"/>
    <w:link w:val="BalloonTextChar"/>
    <w:uiPriority w:val="99"/>
    <w:semiHidden/>
    <w:unhideWhenUsed/>
    <w:rsid w:val="005D1B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1BF3"/>
    <w:rPr>
      <w:rFonts w:ascii="Segoe UI" w:hAnsi="Segoe UI" w:cs="Segoe UI"/>
      <w:sz w:val="18"/>
      <w:szCs w:val="18"/>
    </w:rPr>
  </w:style>
  <w:style w:type="paragraph" w:styleId="TOC1">
    <w:name w:val="toc 1"/>
    <w:basedOn w:val="Normal"/>
    <w:next w:val="Normal"/>
    <w:autoRedefine/>
    <w:uiPriority w:val="39"/>
    <w:unhideWhenUsed/>
    <w:rsid w:val="005D1BF3"/>
    <w:pPr>
      <w:spacing w:after="100"/>
    </w:pPr>
  </w:style>
  <w:style w:type="character" w:customStyle="1" w:styleId="Heading3Char">
    <w:name w:val="Heading 3 Char"/>
    <w:basedOn w:val="DefaultParagraphFont"/>
    <w:link w:val="Heading3"/>
    <w:uiPriority w:val="9"/>
    <w:rsid w:val="00B20593"/>
    <w:rPr>
      <w:rFonts w:asciiTheme="majorHAnsi" w:eastAsiaTheme="majorEastAsia" w:hAnsiTheme="majorHAnsi" w:cstheme="majorBidi"/>
      <w:color w:val="1F4D78" w:themeColor="accent1" w:themeShade="7F"/>
      <w:sz w:val="24"/>
      <w:szCs w:val="24"/>
    </w:rPr>
  </w:style>
  <w:style w:type="paragraph" w:styleId="TOC3">
    <w:name w:val="toc 3"/>
    <w:basedOn w:val="Normal"/>
    <w:next w:val="Normal"/>
    <w:autoRedefine/>
    <w:uiPriority w:val="39"/>
    <w:unhideWhenUsed/>
    <w:rsid w:val="00B20593"/>
    <w:pPr>
      <w:spacing w:after="100"/>
      <w:ind w:left="440"/>
    </w:pPr>
  </w:style>
  <w:style w:type="paragraph" w:customStyle="1" w:styleId="TableText">
    <w:name w:val="Table Text"/>
    <w:basedOn w:val="Normal"/>
    <w:rsid w:val="00E62CC4"/>
    <w:pPr>
      <w:spacing w:before="120" w:after="120" w:line="260" w:lineRule="atLeast"/>
      <w:jc w:val="center"/>
    </w:pPr>
    <w:rPr>
      <w:rFonts w:ascii="Arial" w:eastAsia="Calibri" w:hAnsi="Arial" w:cs="Arial"/>
      <w:sz w:val="16"/>
    </w:rPr>
  </w:style>
  <w:style w:type="paragraph" w:customStyle="1" w:styleId="TableHeader">
    <w:name w:val="Table Header"/>
    <w:basedOn w:val="TableText"/>
    <w:rsid w:val="00E62CC4"/>
    <w:rPr>
      <w:b/>
    </w:rPr>
  </w:style>
  <w:style w:type="paragraph" w:customStyle="1" w:styleId="TableTitle">
    <w:name w:val="Table Title"/>
    <w:basedOn w:val="TableText"/>
    <w:rsid w:val="00E62CC4"/>
    <w:rPr>
      <w:rFonts w:ascii="Arial Bold" w:hAnsi="Arial Bold"/>
      <w:b/>
      <w:color w:val="FFFFFF"/>
      <w:sz w:val="20"/>
      <w:szCs w:val="20"/>
    </w:rPr>
  </w:style>
  <w:style w:type="paragraph" w:styleId="Header">
    <w:name w:val="header"/>
    <w:basedOn w:val="Normal"/>
    <w:link w:val="HeaderChar"/>
    <w:uiPriority w:val="99"/>
    <w:unhideWhenUsed/>
    <w:rsid w:val="004C7C40"/>
    <w:pPr>
      <w:tabs>
        <w:tab w:val="center" w:pos="4513"/>
        <w:tab w:val="right" w:pos="9026"/>
      </w:tabs>
      <w:spacing w:after="0" w:line="240" w:lineRule="auto"/>
    </w:pPr>
  </w:style>
  <w:style w:type="character" w:customStyle="1" w:styleId="HeaderChar">
    <w:name w:val="Header Char"/>
    <w:basedOn w:val="DefaultParagraphFont"/>
    <w:link w:val="Header"/>
    <w:uiPriority w:val="99"/>
    <w:rsid w:val="004C7C40"/>
  </w:style>
  <w:style w:type="paragraph" w:styleId="Footer">
    <w:name w:val="footer"/>
    <w:basedOn w:val="Normal"/>
    <w:link w:val="FooterChar"/>
    <w:uiPriority w:val="99"/>
    <w:unhideWhenUsed/>
    <w:rsid w:val="004C7C40"/>
    <w:pPr>
      <w:tabs>
        <w:tab w:val="center" w:pos="4513"/>
        <w:tab w:val="right" w:pos="9026"/>
      </w:tabs>
      <w:spacing w:after="0" w:line="240" w:lineRule="auto"/>
    </w:pPr>
  </w:style>
  <w:style w:type="character" w:customStyle="1" w:styleId="FooterChar">
    <w:name w:val="Footer Char"/>
    <w:basedOn w:val="DefaultParagraphFont"/>
    <w:link w:val="Footer"/>
    <w:uiPriority w:val="99"/>
    <w:rsid w:val="004C7C40"/>
  </w:style>
  <w:style w:type="paragraph" w:styleId="BodyText">
    <w:name w:val="Body Text"/>
    <w:basedOn w:val="Normal"/>
    <w:link w:val="BodyTextChar"/>
    <w:uiPriority w:val="99"/>
    <w:rsid w:val="00953B69"/>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eastAsia="en-GB"/>
    </w:rPr>
  </w:style>
  <w:style w:type="character" w:customStyle="1" w:styleId="BodyTextChar">
    <w:name w:val="Body Text Char"/>
    <w:basedOn w:val="DefaultParagraphFont"/>
    <w:link w:val="BodyText"/>
    <w:uiPriority w:val="99"/>
    <w:rsid w:val="00953B69"/>
    <w:rPr>
      <w:rFonts w:ascii="Arial" w:eastAsia="Times New Roman" w:hAnsi="Arial" w:cs="Times New Roman"/>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9208645">
      <w:bodyDiv w:val="1"/>
      <w:marLeft w:val="0"/>
      <w:marRight w:val="0"/>
      <w:marTop w:val="0"/>
      <w:marBottom w:val="0"/>
      <w:divBdr>
        <w:top w:val="none" w:sz="0" w:space="0" w:color="auto"/>
        <w:left w:val="none" w:sz="0" w:space="0" w:color="auto"/>
        <w:bottom w:val="none" w:sz="0" w:space="0" w:color="auto"/>
        <w:right w:val="none" w:sz="0" w:space="0" w:color="auto"/>
      </w:divBdr>
    </w:div>
    <w:div w:id="4468910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749E33-C955-41C3-B089-3B437B30C8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8</Pages>
  <Words>2143</Words>
  <Characters>12216</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Cabinet Office</Company>
  <LinksUpToDate>false</LinksUpToDate>
  <CharactersWithSpaces>14331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 Williams</dc:creator>
  <cp:keywords/>
  <dc:description/>
  <cp:lastModifiedBy>Mark Williams</cp:lastModifiedBy>
  <cp:revision>3</cp:revision>
  <dcterms:created xsi:type="dcterms:W3CDTF">2019-01-11T16:29:00Z</dcterms:created>
  <dcterms:modified xsi:type="dcterms:W3CDTF">2019-03-25T10:50:00Z</dcterms:modified>
</cp:coreProperties>
</file>